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31968">
      <w:pPr>
        <w:widowControl w:val="0"/>
        <w:autoSpaceDE w:val="0"/>
        <w:autoSpaceDN w:val="0"/>
        <w:adjustRightInd w:val="0"/>
        <w:spacing w:after="0" w:line="240" w:lineRule="auto"/>
        <w:rPr>
          <w:rFonts w:ascii="Times New Roman" w:hAnsi="Times New Roman" w:cs="Times New Roman"/>
          <w:sz w:val="24"/>
          <w:szCs w:val="24"/>
        </w:rPr>
        <w:sectPr w:rsidR="00000000">
          <w:headerReference w:type="default" r:id="rId7"/>
          <w:footerReference w:type="default" r:id="rId8"/>
          <w:pgSz w:w="12240" w:h="15840"/>
          <w:pgMar w:top="2520" w:right="1440" w:bottom="1800" w:left="1440" w:header="720" w:footer="720" w:gutter="0"/>
          <w:pgNumType w:start="1"/>
          <w:cols w:space="720"/>
          <w:noEndnote/>
        </w:sectPr>
      </w:pPr>
    </w:p>
    <w:p w:rsidR="00000000" w:rsidRDefault="002E022C">
      <w:pPr>
        <w:widowControl w:val="0"/>
        <w:autoSpaceDE w:val="0"/>
        <w:autoSpaceDN w:val="0"/>
        <w:adjustRightInd w:val="0"/>
        <w:spacing w:after="0" w:line="240" w:lineRule="auto"/>
        <w:rPr>
          <w:rFonts w:ascii="Times New Roman" w:hAnsi="Times New Roman" w:cs="Times New Roman"/>
          <w:color w:val="000000"/>
          <w:sz w:val="24"/>
          <w:szCs w:val="24"/>
        </w:rPr>
      </w:pPr>
      <w:bookmarkStart w:id="0" w:name="Document0zzSDUNumber1"/>
      <w:bookmarkEnd w:id="0"/>
      <w:r>
        <w:rPr>
          <w:rFonts w:ascii="Times New Roman" w:hAnsi="Times New Roman" w:cs="Times New Roman"/>
          <w:noProof/>
          <w:color w:val="000000"/>
          <w:sz w:val="20"/>
          <w:szCs w:val="20"/>
        </w:rPr>
        <w:lastRenderedPageBreak/>
        <w:drawing>
          <wp:inline distT="0" distB="0" distL="0" distR="0">
            <wp:extent cx="123825" cy="1238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23825" cy="123825"/>
                    </a:xfrm>
                    <a:prstGeom prst="rect">
                      <a:avLst/>
                    </a:prstGeom>
                    <a:noFill/>
                    <a:ln w="9525">
                      <a:noFill/>
                      <a:miter lim="800000"/>
                      <a:headEnd/>
                      <a:tailEnd/>
                    </a:ln>
                  </pic:spPr>
                </pic:pic>
              </a:graphicData>
            </a:graphic>
          </wp:inline>
        </w:drawing>
      </w:r>
    </w:p>
    <w:p w:rsidR="00000000" w:rsidRDefault="00531968">
      <w:pPr>
        <w:widowControl w:val="0"/>
        <w:autoSpaceDE w:val="0"/>
        <w:autoSpaceDN w:val="0"/>
        <w:adjustRightInd w:val="0"/>
        <w:spacing w:after="0" w:line="240" w:lineRule="auto"/>
        <w:jc w:val="center"/>
        <w:rPr>
          <w:rFonts w:ascii="Times New Roman" w:hAnsi="Times New Roman" w:cs="Times New Roman"/>
          <w:color w:val="000000"/>
          <w:sz w:val="24"/>
          <w:szCs w:val="24"/>
        </w:rPr>
      </w:pPr>
      <w:r>
        <w:rPr>
          <w:rFonts w:ascii="Times New Roman" w:hAnsi="Times New Roman" w:cs="Times New Roman"/>
          <w:b/>
          <w:bCs/>
          <w:color w:val="000000"/>
          <w:sz w:val="20"/>
          <w:szCs w:val="20"/>
        </w:rPr>
        <w:t xml:space="preserve">Effective:[See Text Amendments] </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Code of Federal Regulations </w:t>
      </w:r>
      <w:bookmarkStart w:id="1" w:name="Document1zzCurrentness"/>
      <w:bookmarkEnd w:id="1"/>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HYPERLINK \l "Document1zzIDBD99D50CD9411DF826DE816F057"</w:instrText>
      </w:r>
      <w:r w:rsidR="002E022C">
        <w:rPr>
          <w:rFonts w:ascii="Times New Roman" w:hAnsi="Times New Roman" w:cs="Times New Roman"/>
          <w:color w:val="000000"/>
          <w:sz w:val="24"/>
          <w:szCs w:val="24"/>
        </w:rPr>
      </w:r>
      <w:r>
        <w:rPr>
          <w:rFonts w:ascii="Times New Roman" w:hAnsi="Times New Roman" w:cs="Times New Roman"/>
          <w:color w:val="000000"/>
          <w:sz w:val="24"/>
          <w:szCs w:val="24"/>
        </w:rPr>
        <w:fldChar w:fldCharType="separate"/>
      </w:r>
      <w:r>
        <w:rPr>
          <w:rFonts w:ascii="Times New Roman" w:hAnsi="Times New Roman" w:cs="Times New Roman"/>
          <w:color w:val="0000FF"/>
          <w:sz w:val="20"/>
          <w:szCs w:val="20"/>
          <w:u w:val="single"/>
        </w:rPr>
        <w:t>Currentness</w:t>
      </w:r>
      <w:r>
        <w:rPr>
          <w:rFonts w:ascii="Times New Roman" w:hAnsi="Times New Roman" w:cs="Times New Roman"/>
          <w:color w:val="000000"/>
          <w:sz w:val="24"/>
          <w:szCs w:val="24"/>
        </w:rPr>
        <w:fldChar w:fldCharType="end"/>
      </w:r>
    </w:p>
    <w:p w:rsidR="00000000" w:rsidRDefault="00531968">
      <w:pPr>
        <w:widowControl w:val="0"/>
        <w:autoSpaceDE w:val="0"/>
        <w:autoSpaceDN w:val="0"/>
        <w:adjustRightInd w:val="0"/>
        <w:spacing w:after="0" w:line="240" w:lineRule="auto"/>
        <w:ind w:left="180"/>
        <w:jc w:val="both"/>
        <w:rPr>
          <w:rFonts w:ascii="Times New Roman" w:hAnsi="Times New Roman" w:cs="Times New Roman"/>
          <w:color w:val="000000"/>
          <w:sz w:val="24"/>
          <w:szCs w:val="24"/>
        </w:rPr>
      </w:pPr>
      <w:r>
        <w:rPr>
          <w:rFonts w:ascii="Times New Roman" w:hAnsi="Times New Roman" w:cs="Times New Roman"/>
          <w:color w:val="000000"/>
          <w:sz w:val="20"/>
          <w:szCs w:val="20"/>
        </w:rPr>
        <w:t>Title 30. Mineral Resources</w:t>
      </w: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 Chapter VII. Office of Surface Mining Recl</w:t>
      </w:r>
      <w:r>
        <w:rPr>
          <w:rFonts w:ascii="Times New Roman" w:hAnsi="Times New Roman" w:cs="Times New Roman"/>
          <w:color w:val="000000"/>
          <w:sz w:val="20"/>
          <w:szCs w:val="20"/>
        </w:rPr>
        <w:t>a</w:t>
      </w:r>
      <w:r>
        <w:rPr>
          <w:rFonts w:ascii="Times New Roman" w:hAnsi="Times New Roman" w:cs="Times New Roman"/>
          <w:color w:val="000000"/>
          <w:sz w:val="20"/>
          <w:szCs w:val="20"/>
        </w:rPr>
        <w:t>mation and Enforcement, Department of the I</w:t>
      </w:r>
      <w:r>
        <w:rPr>
          <w:rFonts w:ascii="Times New Roman" w:hAnsi="Times New Roman" w:cs="Times New Roman"/>
          <w:color w:val="000000"/>
          <w:sz w:val="20"/>
          <w:szCs w:val="20"/>
        </w:rPr>
        <w:t>n</w:t>
      </w:r>
      <w:r>
        <w:rPr>
          <w:rFonts w:ascii="Times New Roman" w:hAnsi="Times New Roman" w:cs="Times New Roman"/>
          <w:color w:val="000000"/>
          <w:sz w:val="20"/>
          <w:szCs w:val="20"/>
        </w:rPr>
        <w:t>terior</w:t>
      </w:r>
    </w:p>
    <w:p w:rsidR="00000000" w:rsidRDefault="00531968">
      <w:pPr>
        <w:widowControl w:val="0"/>
        <w:autoSpaceDE w:val="0"/>
        <w:autoSpaceDN w:val="0"/>
        <w:adjustRightInd w:val="0"/>
        <w:spacing w:after="0" w:line="240" w:lineRule="auto"/>
        <w:ind w:left="540"/>
        <w:jc w:val="both"/>
        <w:rPr>
          <w:rFonts w:ascii="Times New Roman" w:hAnsi="Times New Roman" w:cs="Times New Roman"/>
          <w:color w:val="000000"/>
          <w:sz w:val="24"/>
          <w:szCs w:val="24"/>
        </w:rPr>
      </w:pPr>
      <w:hyperlink r:id="rId10" w:history="1">
        <w:r w:rsidR="002E022C">
          <w:rPr>
            <w:rFonts w:ascii="Times New Roman" w:hAnsi="Times New Roman" w:cs="Times New Roman"/>
            <w:noProof/>
            <w:color w:val="0000FF"/>
            <w:sz w:val="20"/>
            <w:szCs w:val="20"/>
            <w:u w:val="single"/>
          </w:rPr>
          <w:drawing>
            <wp:inline distT="0" distB="0" distL="0" distR="0">
              <wp:extent cx="123825" cy="12382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rFonts w:ascii="Times New Roman" w:hAnsi="Times New Roman" w:cs="Times New Roman"/>
            <w:color w:val="0000FF"/>
            <w:sz w:val="20"/>
            <w:szCs w:val="20"/>
            <w:u w:val="single"/>
          </w:rPr>
          <w:t xml:space="preserve"> Subchapter J</w:t>
        </w:r>
      </w:hyperlink>
      <w:r>
        <w:rPr>
          <w:rFonts w:ascii="Times New Roman" w:hAnsi="Times New Roman" w:cs="Times New Roman"/>
          <w:color w:val="000000"/>
          <w:sz w:val="20"/>
          <w:szCs w:val="20"/>
        </w:rPr>
        <w:t>. Bonding and Insurance R</w:t>
      </w:r>
      <w:r>
        <w:rPr>
          <w:rFonts w:ascii="Times New Roman" w:hAnsi="Times New Roman" w:cs="Times New Roman"/>
          <w:color w:val="000000"/>
          <w:sz w:val="20"/>
          <w:szCs w:val="20"/>
        </w:rPr>
        <w:t>e</w:t>
      </w:r>
      <w:r>
        <w:rPr>
          <w:rFonts w:ascii="Times New Roman" w:hAnsi="Times New Roman" w:cs="Times New Roman"/>
          <w:color w:val="000000"/>
          <w:sz w:val="20"/>
          <w:szCs w:val="20"/>
        </w:rPr>
        <w:t>quirements for Surface Coal Mining and Re</w:t>
      </w:r>
      <w:r>
        <w:rPr>
          <w:rFonts w:ascii="Times New Roman" w:hAnsi="Times New Roman" w:cs="Times New Roman"/>
          <w:color w:val="000000"/>
          <w:sz w:val="20"/>
          <w:szCs w:val="20"/>
        </w:rPr>
        <w:t>c</w:t>
      </w:r>
      <w:r>
        <w:rPr>
          <w:rFonts w:ascii="Times New Roman" w:hAnsi="Times New Roman" w:cs="Times New Roman"/>
          <w:color w:val="000000"/>
          <w:sz w:val="20"/>
          <w:szCs w:val="20"/>
        </w:rPr>
        <w:t>lamation Operations</w:t>
      </w:r>
    </w:p>
    <w:p w:rsidR="00000000" w:rsidRDefault="00531968">
      <w:pPr>
        <w:widowControl w:val="0"/>
        <w:autoSpaceDE w:val="0"/>
        <w:autoSpaceDN w:val="0"/>
        <w:adjustRightInd w:val="0"/>
        <w:spacing w:after="0" w:line="240" w:lineRule="auto"/>
        <w:ind w:left="720"/>
        <w:jc w:val="both"/>
        <w:rPr>
          <w:rFonts w:ascii="Times New Roman" w:hAnsi="Times New Roman" w:cs="Times New Roman"/>
          <w:color w:val="000000"/>
          <w:sz w:val="24"/>
          <w:szCs w:val="24"/>
        </w:rPr>
      </w:pPr>
      <w:hyperlink r:id="rId12" w:history="1">
        <w:r w:rsidR="002E022C">
          <w:rPr>
            <w:rFonts w:ascii="Times New Roman" w:hAnsi="Times New Roman" w:cs="Times New Roman"/>
            <w:noProof/>
            <w:color w:val="0000FF"/>
            <w:sz w:val="20"/>
            <w:szCs w:val="20"/>
            <w:u w:val="single"/>
          </w:rPr>
          <w:drawing>
            <wp:inline distT="0" distB="0" distL="0" distR="0">
              <wp:extent cx="123825" cy="12382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123825" cy="123825"/>
                      </a:xfrm>
                      <a:prstGeom prst="rect">
                        <a:avLst/>
                      </a:prstGeom>
                      <a:noFill/>
                      <a:ln w="9525">
                        <a:noFill/>
                        <a:miter lim="800000"/>
                        <a:headEnd/>
                        <a:tailEnd/>
                      </a:ln>
                    </pic:spPr>
                  </pic:pic>
                </a:graphicData>
              </a:graphic>
            </wp:inline>
          </w:drawing>
        </w:r>
        <w:r>
          <w:rPr>
            <w:rFonts w:ascii="Times New Roman" w:hAnsi="Times New Roman" w:cs="Times New Roman"/>
            <w:color w:val="0000FF"/>
            <w:sz w:val="20"/>
            <w:szCs w:val="20"/>
            <w:u w:val="single"/>
          </w:rPr>
          <w:t xml:space="preserve"> Part 800</w:t>
        </w:r>
      </w:hyperlink>
      <w:r>
        <w:rPr>
          <w:rFonts w:ascii="Times New Roman" w:hAnsi="Times New Roman" w:cs="Times New Roman"/>
          <w:color w:val="000000"/>
          <w:sz w:val="20"/>
          <w:szCs w:val="20"/>
        </w:rPr>
        <w:t>. Bond and Insurance Requir</w:t>
      </w:r>
      <w:r>
        <w:rPr>
          <w:rFonts w:ascii="Times New Roman" w:hAnsi="Times New Roman" w:cs="Times New Roman"/>
          <w:color w:val="000000"/>
          <w:sz w:val="20"/>
          <w:szCs w:val="20"/>
        </w:rPr>
        <w:t>e</w:t>
      </w:r>
      <w:r>
        <w:rPr>
          <w:rFonts w:ascii="Times New Roman" w:hAnsi="Times New Roman" w:cs="Times New Roman"/>
          <w:color w:val="000000"/>
          <w:sz w:val="20"/>
          <w:szCs w:val="20"/>
        </w:rPr>
        <w:t>ments for Surface Coa</w:t>
      </w:r>
      <w:r>
        <w:rPr>
          <w:rFonts w:ascii="Times New Roman" w:hAnsi="Times New Roman" w:cs="Times New Roman"/>
          <w:color w:val="000000"/>
          <w:sz w:val="20"/>
          <w:szCs w:val="20"/>
        </w:rPr>
        <w:t>l Mining and Recl</w:t>
      </w:r>
      <w:r>
        <w:rPr>
          <w:rFonts w:ascii="Times New Roman" w:hAnsi="Times New Roman" w:cs="Times New Roman"/>
          <w:color w:val="000000"/>
          <w:sz w:val="20"/>
          <w:szCs w:val="20"/>
        </w:rPr>
        <w:t>a</w:t>
      </w:r>
      <w:r>
        <w:rPr>
          <w:rFonts w:ascii="Times New Roman" w:hAnsi="Times New Roman" w:cs="Times New Roman"/>
          <w:color w:val="000000"/>
          <w:sz w:val="20"/>
          <w:szCs w:val="20"/>
        </w:rPr>
        <w:t>mation Operations Under Regulatory Pr</w:t>
      </w:r>
      <w:r>
        <w:rPr>
          <w:rFonts w:ascii="Times New Roman" w:hAnsi="Times New Roman" w:cs="Times New Roman"/>
          <w:color w:val="000000"/>
          <w:sz w:val="20"/>
          <w:szCs w:val="20"/>
        </w:rPr>
        <w:t>o</w:t>
      </w:r>
      <w:r>
        <w:rPr>
          <w:rFonts w:ascii="Times New Roman" w:hAnsi="Times New Roman" w:cs="Times New Roman"/>
          <w:color w:val="000000"/>
          <w:sz w:val="20"/>
          <w:szCs w:val="20"/>
        </w:rPr>
        <w:t xml:space="preserve">grams </w:t>
      </w:r>
      <w:hyperlink r:id="rId13" w:history="1">
        <w:r>
          <w:rPr>
            <w:rFonts w:ascii="Times New Roman" w:hAnsi="Times New Roman" w:cs="Times New Roman"/>
            <w:color w:val="0000FF"/>
            <w:sz w:val="20"/>
            <w:szCs w:val="20"/>
            <w:u w:val="single"/>
          </w:rPr>
          <w:t>(Refs &amp; Annos)</w:t>
        </w:r>
      </w:hyperlink>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2E022C">
      <w:pPr>
        <w:widowControl w:val="0"/>
        <w:autoSpaceDE w:val="0"/>
        <w:autoSpaceDN w:val="0"/>
        <w:adjustRightInd w:val="0"/>
        <w:spacing w:after="0" w:line="240" w:lineRule="auto"/>
        <w:ind w:left="900"/>
        <w:jc w:val="both"/>
        <w:rPr>
          <w:rFonts w:ascii="Times New Roman" w:hAnsi="Times New Roman" w:cs="Times New Roman"/>
          <w:color w:val="000000"/>
          <w:sz w:val="24"/>
          <w:szCs w:val="24"/>
        </w:rPr>
      </w:pPr>
      <w:r>
        <w:rPr>
          <w:rFonts w:ascii="Times New Roman" w:hAnsi="Times New Roman" w:cs="Times New Roman"/>
          <w:b/>
          <w:bCs/>
          <w:noProof/>
          <w:color w:val="000000"/>
          <w:sz w:val="20"/>
          <w:szCs w:val="20"/>
        </w:rPr>
        <w:drawing>
          <wp:inline distT="0" distB="0" distL="0" distR="0">
            <wp:extent cx="123825" cy="12382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531968">
        <w:rPr>
          <w:rFonts w:ascii="Times New Roman" w:hAnsi="Times New Roman" w:cs="Times New Roman"/>
          <w:b/>
          <w:bCs/>
          <w:color w:val="000000"/>
          <w:sz w:val="20"/>
          <w:szCs w:val="20"/>
        </w:rPr>
        <w:t xml:space="preserve"> § 800.23 Self-bonding.</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(a) Definitions. For the purpo</w:t>
      </w:r>
      <w:r>
        <w:rPr>
          <w:rFonts w:ascii="Times New Roman" w:hAnsi="Times New Roman" w:cs="Times New Roman"/>
          <w:color w:val="000000"/>
          <w:sz w:val="20"/>
          <w:szCs w:val="20"/>
        </w:rPr>
        <w:t>ses of this section only:</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Current assets means cash or other assets or resources which are reasonably expected to be converted to cash or sold or consumed within one year or within the normal operating cycle of the business.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Current liabilities means obligations which are re</w:t>
      </w:r>
      <w:r>
        <w:rPr>
          <w:rFonts w:ascii="Times New Roman" w:hAnsi="Times New Roman" w:cs="Times New Roman"/>
          <w:color w:val="000000"/>
          <w:sz w:val="20"/>
          <w:szCs w:val="20"/>
        </w:rPr>
        <w:t>a</w:t>
      </w:r>
      <w:r>
        <w:rPr>
          <w:rFonts w:ascii="Times New Roman" w:hAnsi="Times New Roman" w:cs="Times New Roman"/>
          <w:color w:val="000000"/>
          <w:sz w:val="20"/>
          <w:szCs w:val="20"/>
        </w:rPr>
        <w:t>sonably expected to be paid or liquidated within one year or within the normal operating cycle of the business.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Fixed assets means plants and equipment, but does not include land or coal in place.</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Liabil</w:t>
      </w:r>
      <w:r>
        <w:rPr>
          <w:rFonts w:ascii="Times New Roman" w:hAnsi="Times New Roman" w:cs="Times New Roman"/>
          <w:color w:val="000000"/>
          <w:sz w:val="20"/>
          <w:szCs w:val="20"/>
        </w:rPr>
        <w:t>ities means obligations to transfer assets or provide services to other entities in the future as a result of past transactions.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Net worth means total assets minus total liabilities and is equivalent to owners' equity.</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Parent corporation means a corporat</w:t>
      </w:r>
      <w:r>
        <w:rPr>
          <w:rFonts w:ascii="Times New Roman" w:hAnsi="Times New Roman" w:cs="Times New Roman"/>
          <w:color w:val="000000"/>
          <w:sz w:val="20"/>
          <w:szCs w:val="20"/>
        </w:rPr>
        <w:t>ion which owns or controls the applicant.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Tangible net worth means net worth minus intangibles such as goodwill and rights to patents or royalties.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lastRenderedPageBreak/>
        <w:t>(b) The regulatory authority may accept a self-bond from an applicant for a permit if all of the following</w:t>
      </w:r>
      <w:r>
        <w:rPr>
          <w:rFonts w:ascii="Times New Roman" w:hAnsi="Times New Roman" w:cs="Times New Roman"/>
          <w:color w:val="000000"/>
          <w:sz w:val="20"/>
          <w:szCs w:val="20"/>
        </w:rPr>
        <w:t xml:space="preserve"> conditions are met by the applicant or its parent co</w:t>
      </w:r>
      <w:r>
        <w:rPr>
          <w:rFonts w:ascii="Times New Roman" w:hAnsi="Times New Roman" w:cs="Times New Roman"/>
          <w:color w:val="000000"/>
          <w:sz w:val="20"/>
          <w:szCs w:val="20"/>
        </w:rPr>
        <w:t>r</w:t>
      </w:r>
      <w:r>
        <w:rPr>
          <w:rFonts w:ascii="Times New Roman" w:hAnsi="Times New Roman" w:cs="Times New Roman"/>
          <w:color w:val="000000"/>
          <w:sz w:val="20"/>
          <w:szCs w:val="20"/>
        </w:rPr>
        <w:t>poration guarantor:</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(1) The applicant designates a suitable agent to receive service of process in the State where the proposed surface coal mining operation is to be conducted.</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(2) The applicant has been in continuous oper</w:t>
      </w:r>
      <w:r>
        <w:rPr>
          <w:rFonts w:ascii="Times New Roman" w:hAnsi="Times New Roman" w:cs="Times New Roman"/>
          <w:color w:val="000000"/>
          <w:sz w:val="20"/>
          <w:szCs w:val="20"/>
        </w:rPr>
        <w:t>a</w:t>
      </w:r>
      <w:r>
        <w:rPr>
          <w:rFonts w:ascii="Times New Roman" w:hAnsi="Times New Roman" w:cs="Times New Roman"/>
          <w:color w:val="000000"/>
          <w:sz w:val="20"/>
          <w:szCs w:val="20"/>
        </w:rPr>
        <w:t>tion as a business entity for a period of not less than 5 years. Continuous operation shall mean that business was conducted over a period of 5 years immediately preceding the time of applic</w:t>
      </w:r>
      <w:r>
        <w:rPr>
          <w:rFonts w:ascii="Times New Roman" w:hAnsi="Times New Roman" w:cs="Times New Roman"/>
          <w:color w:val="000000"/>
          <w:sz w:val="20"/>
          <w:szCs w:val="20"/>
        </w:rPr>
        <w:t>a</w:t>
      </w:r>
      <w:r>
        <w:rPr>
          <w:rFonts w:ascii="Times New Roman" w:hAnsi="Times New Roman" w:cs="Times New Roman"/>
          <w:color w:val="000000"/>
          <w:sz w:val="20"/>
          <w:szCs w:val="20"/>
        </w:rPr>
        <w:t>tion.</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 The regu</w:t>
      </w:r>
      <w:r>
        <w:rPr>
          <w:rFonts w:ascii="Times New Roman" w:hAnsi="Times New Roman" w:cs="Times New Roman"/>
          <w:color w:val="000000"/>
          <w:sz w:val="20"/>
          <w:szCs w:val="20"/>
        </w:rPr>
        <w:t>latory authority may allow a joint venture or syndicate with less than 5 years of continuous operation to qualify under this r</w:t>
      </w:r>
      <w:r>
        <w:rPr>
          <w:rFonts w:ascii="Times New Roman" w:hAnsi="Times New Roman" w:cs="Times New Roman"/>
          <w:color w:val="000000"/>
          <w:sz w:val="20"/>
          <w:szCs w:val="20"/>
        </w:rPr>
        <w:t>e</w:t>
      </w:r>
      <w:r>
        <w:rPr>
          <w:rFonts w:ascii="Times New Roman" w:hAnsi="Times New Roman" w:cs="Times New Roman"/>
          <w:color w:val="000000"/>
          <w:sz w:val="20"/>
          <w:szCs w:val="20"/>
        </w:rPr>
        <w:t>quirement, if each member of the joint venture or syndicate has been in continuous operation for at least 5 years immediately pre</w:t>
      </w:r>
      <w:r>
        <w:rPr>
          <w:rFonts w:ascii="Times New Roman" w:hAnsi="Times New Roman" w:cs="Times New Roman"/>
          <w:color w:val="000000"/>
          <w:sz w:val="20"/>
          <w:szCs w:val="20"/>
        </w:rPr>
        <w:t>ceding the time of application.</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 When calculating the period of continuous operation, the regulatory authority may exclude past periods of interruption to the operation of the business entity that were beyond the applicant's control and that do not af</w:t>
      </w:r>
      <w:r>
        <w:rPr>
          <w:rFonts w:ascii="Times New Roman" w:hAnsi="Times New Roman" w:cs="Times New Roman"/>
          <w:color w:val="000000"/>
          <w:sz w:val="20"/>
          <w:szCs w:val="20"/>
        </w:rPr>
        <w:t>fect the applicant's lik</w:t>
      </w:r>
      <w:r>
        <w:rPr>
          <w:rFonts w:ascii="Times New Roman" w:hAnsi="Times New Roman" w:cs="Times New Roman"/>
          <w:color w:val="000000"/>
          <w:sz w:val="20"/>
          <w:szCs w:val="20"/>
        </w:rPr>
        <w:t>e</w:t>
      </w:r>
      <w:r>
        <w:rPr>
          <w:rFonts w:ascii="Times New Roman" w:hAnsi="Times New Roman" w:cs="Times New Roman"/>
          <w:color w:val="000000"/>
          <w:sz w:val="20"/>
          <w:szCs w:val="20"/>
        </w:rPr>
        <w:t>lihood of remaining in business during the pr</w:t>
      </w:r>
      <w:r>
        <w:rPr>
          <w:rFonts w:ascii="Times New Roman" w:hAnsi="Times New Roman" w:cs="Times New Roman"/>
          <w:color w:val="000000"/>
          <w:sz w:val="20"/>
          <w:szCs w:val="20"/>
        </w:rPr>
        <w:t>o</w:t>
      </w:r>
      <w:r>
        <w:rPr>
          <w:rFonts w:ascii="Times New Roman" w:hAnsi="Times New Roman" w:cs="Times New Roman"/>
          <w:color w:val="000000"/>
          <w:sz w:val="20"/>
          <w:szCs w:val="20"/>
        </w:rPr>
        <w:t>posed surface coal mining and reclamation ope</w:t>
      </w:r>
      <w:r>
        <w:rPr>
          <w:rFonts w:ascii="Times New Roman" w:hAnsi="Times New Roman" w:cs="Times New Roman"/>
          <w:color w:val="000000"/>
          <w:sz w:val="20"/>
          <w:szCs w:val="20"/>
        </w:rPr>
        <w:t>r</w:t>
      </w:r>
      <w:r>
        <w:rPr>
          <w:rFonts w:ascii="Times New Roman" w:hAnsi="Times New Roman" w:cs="Times New Roman"/>
          <w:color w:val="000000"/>
          <w:sz w:val="20"/>
          <w:szCs w:val="20"/>
        </w:rPr>
        <w:t>ations.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(3) The applicant submits financial information in sufficient detail to show that the applicant meets o</w:t>
      </w:r>
      <w:r>
        <w:rPr>
          <w:rFonts w:ascii="Times New Roman" w:hAnsi="Times New Roman" w:cs="Times New Roman"/>
          <w:color w:val="000000"/>
          <w:sz w:val="20"/>
          <w:szCs w:val="20"/>
        </w:rPr>
        <w:t>ne of the following criteria:</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(i) The applicant has a current rating for its most recent bond issuance of </w:t>
      </w:r>
      <w:r>
        <w:rPr>
          <w:rFonts w:ascii="Times New Roman" w:hAnsi="Times New Roman" w:cs="Times New Roman"/>
          <w:color w:val="000000"/>
          <w:sz w:val="20"/>
          <w:szCs w:val="20"/>
        </w:rPr>
        <w:t>“</w:t>
      </w:r>
      <w:r>
        <w:rPr>
          <w:rFonts w:ascii="Times New Roman" w:hAnsi="Times New Roman" w:cs="Times New Roman"/>
          <w:color w:val="000000"/>
          <w:sz w:val="20"/>
          <w:szCs w:val="20"/>
        </w:rPr>
        <w:t>A</w:t>
      </w:r>
      <w:r>
        <w:rPr>
          <w:rFonts w:ascii="Times New Roman" w:hAnsi="Times New Roman" w:cs="Times New Roman"/>
          <w:color w:val="000000"/>
          <w:sz w:val="20"/>
          <w:szCs w:val="20"/>
        </w:rPr>
        <w:t>”</w:t>
      </w:r>
      <w:r>
        <w:rPr>
          <w:rFonts w:ascii="Times New Roman" w:hAnsi="Times New Roman" w:cs="Times New Roman"/>
          <w:color w:val="000000"/>
          <w:sz w:val="20"/>
          <w:szCs w:val="20"/>
        </w:rPr>
        <w:t xml:space="preserve"> or higher as issued by either Moody's Investor Service or Standard and Poor's Corporation;</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 The applicant has a tangible net worth of at lea</w:t>
      </w:r>
      <w:r>
        <w:rPr>
          <w:rFonts w:ascii="Times New Roman" w:hAnsi="Times New Roman" w:cs="Times New Roman"/>
          <w:color w:val="000000"/>
          <w:sz w:val="20"/>
          <w:szCs w:val="20"/>
        </w:rPr>
        <w:t xml:space="preserve">st $10 million, a ratio of total liabilities to net worth of 2.5 times or less, and a ratio of current assets to current liabilities of 1.2 times or greater; </w:t>
      </w:r>
      <w:r>
        <w:rPr>
          <w:rFonts w:ascii="Times New Roman" w:hAnsi="Times New Roman" w:cs="Times New Roman"/>
          <w:color w:val="000000"/>
          <w:sz w:val="20"/>
          <w:szCs w:val="20"/>
        </w:rPr>
        <w:lastRenderedPageBreak/>
        <w:t>or</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(iii) The applicant's fixed assets in the United States total at least $20 million, and the ap</w:t>
      </w:r>
      <w:r>
        <w:rPr>
          <w:rFonts w:ascii="Times New Roman" w:hAnsi="Times New Roman" w:cs="Times New Roman"/>
          <w:color w:val="000000"/>
          <w:sz w:val="20"/>
          <w:szCs w:val="20"/>
        </w:rPr>
        <w:t>plicant has a ratio of total liabilities to net worth of 2.5 times or less, and a ratio of current assets to cu</w:t>
      </w:r>
      <w:r>
        <w:rPr>
          <w:rFonts w:ascii="Times New Roman" w:hAnsi="Times New Roman" w:cs="Times New Roman"/>
          <w:color w:val="000000"/>
          <w:sz w:val="20"/>
          <w:szCs w:val="20"/>
        </w:rPr>
        <w:t>r</w:t>
      </w:r>
      <w:r>
        <w:rPr>
          <w:rFonts w:ascii="Times New Roman" w:hAnsi="Times New Roman" w:cs="Times New Roman"/>
          <w:color w:val="000000"/>
          <w:sz w:val="20"/>
          <w:szCs w:val="20"/>
        </w:rPr>
        <w:t>rent liabilities of 1.2 times or greater.</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(4) The applicant submits;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 Financial statements for the most recently completed fiscal year acco</w:t>
      </w:r>
      <w:r>
        <w:rPr>
          <w:rFonts w:ascii="Times New Roman" w:hAnsi="Times New Roman" w:cs="Times New Roman"/>
          <w:color w:val="000000"/>
          <w:sz w:val="20"/>
          <w:szCs w:val="20"/>
        </w:rPr>
        <w:t>mpanied by a report prepared by an independent certified public a</w:t>
      </w:r>
      <w:r>
        <w:rPr>
          <w:rFonts w:ascii="Times New Roman" w:hAnsi="Times New Roman" w:cs="Times New Roman"/>
          <w:color w:val="000000"/>
          <w:sz w:val="20"/>
          <w:szCs w:val="20"/>
        </w:rPr>
        <w:t>c</w:t>
      </w:r>
      <w:r>
        <w:rPr>
          <w:rFonts w:ascii="Times New Roman" w:hAnsi="Times New Roman" w:cs="Times New Roman"/>
          <w:color w:val="000000"/>
          <w:sz w:val="20"/>
          <w:szCs w:val="20"/>
        </w:rPr>
        <w:t>countant in conformity with generally accepted accounting principles and containing the a</w:t>
      </w:r>
      <w:r>
        <w:rPr>
          <w:rFonts w:ascii="Times New Roman" w:hAnsi="Times New Roman" w:cs="Times New Roman"/>
          <w:color w:val="000000"/>
          <w:sz w:val="20"/>
          <w:szCs w:val="20"/>
        </w:rPr>
        <w:t>c</w:t>
      </w:r>
      <w:r>
        <w:rPr>
          <w:rFonts w:ascii="Times New Roman" w:hAnsi="Times New Roman" w:cs="Times New Roman"/>
          <w:color w:val="000000"/>
          <w:sz w:val="20"/>
          <w:szCs w:val="20"/>
        </w:rPr>
        <w:t>countant's audit opinion or review opinion of the financial statements with no adverse opinion;</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w:t>
      </w:r>
      <w:r>
        <w:rPr>
          <w:rFonts w:ascii="Times New Roman" w:hAnsi="Times New Roman" w:cs="Times New Roman"/>
          <w:color w:val="000000"/>
          <w:sz w:val="20"/>
          <w:szCs w:val="20"/>
        </w:rPr>
        <w:t>) Unaudited financial statements for completed quarters in the current fiscal year; and</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(iii) Additional unaudited information as r</w:t>
      </w:r>
      <w:r>
        <w:rPr>
          <w:rFonts w:ascii="Times New Roman" w:hAnsi="Times New Roman" w:cs="Times New Roman"/>
          <w:color w:val="000000"/>
          <w:sz w:val="20"/>
          <w:szCs w:val="20"/>
        </w:rPr>
        <w:t>e</w:t>
      </w:r>
      <w:r>
        <w:rPr>
          <w:rFonts w:ascii="Times New Roman" w:hAnsi="Times New Roman" w:cs="Times New Roman"/>
          <w:color w:val="000000"/>
          <w:sz w:val="20"/>
          <w:szCs w:val="20"/>
        </w:rPr>
        <w:t>quested by the regulatory authority.</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(c)(1) The regulatory authority may accept a written guarantee for an applicant's sel</w:t>
      </w:r>
      <w:r>
        <w:rPr>
          <w:rFonts w:ascii="Times New Roman" w:hAnsi="Times New Roman" w:cs="Times New Roman"/>
          <w:color w:val="000000"/>
          <w:sz w:val="20"/>
          <w:szCs w:val="20"/>
        </w:rPr>
        <w:t xml:space="preserve">f-bond from a parent corporation guarantor, if the guarantor meets the conditions of paragraphs (b)(1) through (b)(4) of this section as if it were the applicant. Such a written guarantee shall be referred to as a </w:t>
      </w:r>
      <w:r>
        <w:rPr>
          <w:rFonts w:ascii="Times New Roman" w:hAnsi="Times New Roman" w:cs="Times New Roman"/>
          <w:color w:val="000000"/>
          <w:sz w:val="20"/>
          <w:szCs w:val="20"/>
        </w:rPr>
        <w:t>“</w:t>
      </w:r>
      <w:r>
        <w:rPr>
          <w:rFonts w:ascii="Times New Roman" w:hAnsi="Times New Roman" w:cs="Times New Roman"/>
          <w:color w:val="000000"/>
          <w:sz w:val="20"/>
          <w:szCs w:val="20"/>
        </w:rPr>
        <w:t>corporate guara</w:t>
      </w:r>
      <w:r>
        <w:rPr>
          <w:rFonts w:ascii="Times New Roman" w:hAnsi="Times New Roman" w:cs="Times New Roman"/>
          <w:color w:val="000000"/>
          <w:sz w:val="20"/>
          <w:szCs w:val="20"/>
        </w:rPr>
        <w:t>n</w:t>
      </w:r>
      <w:r>
        <w:rPr>
          <w:rFonts w:ascii="Times New Roman" w:hAnsi="Times New Roman" w:cs="Times New Roman"/>
          <w:color w:val="000000"/>
          <w:sz w:val="20"/>
          <w:szCs w:val="20"/>
        </w:rPr>
        <w:t>tee.</w:t>
      </w:r>
      <w:r>
        <w:rPr>
          <w:rFonts w:ascii="Times New Roman" w:hAnsi="Times New Roman" w:cs="Times New Roman"/>
          <w:color w:val="000000"/>
          <w:sz w:val="20"/>
          <w:szCs w:val="20"/>
        </w:rPr>
        <w:t>”</w:t>
      </w:r>
      <w:r>
        <w:rPr>
          <w:rFonts w:ascii="Times New Roman" w:hAnsi="Times New Roman" w:cs="Times New Roman"/>
          <w:color w:val="000000"/>
          <w:sz w:val="20"/>
          <w:szCs w:val="20"/>
        </w:rPr>
        <w:t xml:space="preserve"> The terms of the co</w:t>
      </w:r>
      <w:r>
        <w:rPr>
          <w:rFonts w:ascii="Times New Roman" w:hAnsi="Times New Roman" w:cs="Times New Roman"/>
          <w:color w:val="000000"/>
          <w:sz w:val="20"/>
          <w:szCs w:val="20"/>
        </w:rPr>
        <w:t>rporate guarantee shall pr</w:t>
      </w:r>
      <w:r>
        <w:rPr>
          <w:rFonts w:ascii="Times New Roman" w:hAnsi="Times New Roman" w:cs="Times New Roman"/>
          <w:color w:val="000000"/>
          <w:sz w:val="20"/>
          <w:szCs w:val="20"/>
        </w:rPr>
        <w:t>o</w:t>
      </w:r>
      <w:r>
        <w:rPr>
          <w:rFonts w:ascii="Times New Roman" w:hAnsi="Times New Roman" w:cs="Times New Roman"/>
          <w:color w:val="000000"/>
          <w:sz w:val="20"/>
          <w:szCs w:val="20"/>
        </w:rPr>
        <w:t>vide for the following:</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 If the applicant fails to complete the reclam</w:t>
      </w:r>
      <w:r>
        <w:rPr>
          <w:rFonts w:ascii="Times New Roman" w:hAnsi="Times New Roman" w:cs="Times New Roman"/>
          <w:color w:val="000000"/>
          <w:sz w:val="20"/>
          <w:szCs w:val="20"/>
        </w:rPr>
        <w:t>a</w:t>
      </w:r>
      <w:r>
        <w:rPr>
          <w:rFonts w:ascii="Times New Roman" w:hAnsi="Times New Roman" w:cs="Times New Roman"/>
          <w:color w:val="000000"/>
          <w:sz w:val="20"/>
          <w:szCs w:val="20"/>
        </w:rPr>
        <w:t>tion plan, the guarantor shall do so or the gu</w:t>
      </w:r>
      <w:r>
        <w:rPr>
          <w:rFonts w:ascii="Times New Roman" w:hAnsi="Times New Roman" w:cs="Times New Roman"/>
          <w:color w:val="000000"/>
          <w:sz w:val="20"/>
          <w:szCs w:val="20"/>
        </w:rPr>
        <w:t>a</w:t>
      </w:r>
      <w:r>
        <w:rPr>
          <w:rFonts w:ascii="Times New Roman" w:hAnsi="Times New Roman" w:cs="Times New Roman"/>
          <w:color w:val="000000"/>
          <w:sz w:val="20"/>
          <w:szCs w:val="20"/>
        </w:rPr>
        <w:t>rantor shall be liable under the indemnity agre</w:t>
      </w:r>
      <w:r>
        <w:rPr>
          <w:rFonts w:ascii="Times New Roman" w:hAnsi="Times New Roman" w:cs="Times New Roman"/>
          <w:color w:val="000000"/>
          <w:sz w:val="20"/>
          <w:szCs w:val="20"/>
        </w:rPr>
        <w:t>e</w:t>
      </w:r>
      <w:r>
        <w:rPr>
          <w:rFonts w:ascii="Times New Roman" w:hAnsi="Times New Roman" w:cs="Times New Roman"/>
          <w:color w:val="000000"/>
          <w:sz w:val="20"/>
          <w:szCs w:val="20"/>
        </w:rPr>
        <w:t>ment to provide funds to the regulatory authority sufficien</w:t>
      </w:r>
      <w:r>
        <w:rPr>
          <w:rFonts w:ascii="Times New Roman" w:hAnsi="Times New Roman" w:cs="Times New Roman"/>
          <w:color w:val="000000"/>
          <w:sz w:val="20"/>
          <w:szCs w:val="20"/>
        </w:rPr>
        <w:t>t to complete the reclamation plan, but not to exceed the bond amount.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 The corporate guarantee shall remain in force unless the guarantor sends notice of cancellation by certified mail to the applicant and to the re</w:t>
      </w:r>
      <w:r>
        <w:rPr>
          <w:rFonts w:ascii="Times New Roman" w:hAnsi="Times New Roman" w:cs="Times New Roman"/>
          <w:color w:val="000000"/>
          <w:sz w:val="20"/>
          <w:szCs w:val="20"/>
        </w:rPr>
        <w:t>g</w:t>
      </w:r>
      <w:r>
        <w:rPr>
          <w:rFonts w:ascii="Times New Roman" w:hAnsi="Times New Roman" w:cs="Times New Roman"/>
          <w:color w:val="000000"/>
          <w:sz w:val="20"/>
          <w:szCs w:val="20"/>
        </w:rPr>
        <w:t>ulatory authority at least 90 days</w:t>
      </w:r>
      <w:r>
        <w:rPr>
          <w:rFonts w:ascii="Times New Roman" w:hAnsi="Times New Roman" w:cs="Times New Roman"/>
          <w:color w:val="000000"/>
          <w:sz w:val="20"/>
          <w:szCs w:val="20"/>
        </w:rPr>
        <w:t xml:space="preserve"> in advance of the cancellation date, and the regulatory authority accepts the cancellation.</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(iii) The cancellation may be accepted by the regulatory authority if the applicant obtains sui</w:t>
      </w:r>
      <w:r>
        <w:rPr>
          <w:rFonts w:ascii="Times New Roman" w:hAnsi="Times New Roman" w:cs="Times New Roman"/>
          <w:color w:val="000000"/>
          <w:sz w:val="20"/>
          <w:szCs w:val="20"/>
        </w:rPr>
        <w:t>t</w:t>
      </w:r>
      <w:r>
        <w:rPr>
          <w:rFonts w:ascii="Times New Roman" w:hAnsi="Times New Roman" w:cs="Times New Roman"/>
          <w:color w:val="000000"/>
          <w:sz w:val="20"/>
          <w:szCs w:val="20"/>
        </w:rPr>
        <w:t xml:space="preserve">able replacement bond before the cancellation </w:t>
      </w:r>
      <w:r>
        <w:rPr>
          <w:rFonts w:ascii="Times New Roman" w:hAnsi="Times New Roman" w:cs="Times New Roman"/>
          <w:color w:val="000000"/>
          <w:sz w:val="20"/>
          <w:szCs w:val="20"/>
        </w:rPr>
        <w:lastRenderedPageBreak/>
        <w:t>date or if the lands</w:t>
      </w:r>
      <w:r>
        <w:rPr>
          <w:rFonts w:ascii="Times New Roman" w:hAnsi="Times New Roman" w:cs="Times New Roman"/>
          <w:color w:val="000000"/>
          <w:sz w:val="20"/>
          <w:szCs w:val="20"/>
        </w:rPr>
        <w:t xml:space="preserve"> for which the self-bond, or portion thereof, was accepted have not been di</w:t>
      </w:r>
      <w:r>
        <w:rPr>
          <w:rFonts w:ascii="Times New Roman" w:hAnsi="Times New Roman" w:cs="Times New Roman"/>
          <w:color w:val="000000"/>
          <w:sz w:val="20"/>
          <w:szCs w:val="20"/>
        </w:rPr>
        <w:t>s</w:t>
      </w:r>
      <w:r>
        <w:rPr>
          <w:rFonts w:ascii="Times New Roman" w:hAnsi="Times New Roman" w:cs="Times New Roman"/>
          <w:color w:val="000000"/>
          <w:sz w:val="20"/>
          <w:szCs w:val="20"/>
        </w:rPr>
        <w:t>turbed.</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(2) The regulatory authority may accept a written guarantee for an applicant's self-bond from any corporate guarantor, whenever the applicant meets the conditions of paragraphs (b)(1), (b)(2) and (b)(4) of this section, and the guarantor meets the conditio</w:t>
      </w:r>
      <w:r>
        <w:rPr>
          <w:rFonts w:ascii="Times New Roman" w:hAnsi="Times New Roman" w:cs="Times New Roman"/>
          <w:color w:val="000000"/>
          <w:sz w:val="20"/>
          <w:szCs w:val="20"/>
        </w:rPr>
        <w:t xml:space="preserve">ns of paragraphs (b)(1) through (b)(4) of this section. Such a written guarantee shall be referred to as a </w:t>
      </w:r>
      <w:r>
        <w:rPr>
          <w:rFonts w:ascii="Times New Roman" w:hAnsi="Times New Roman" w:cs="Times New Roman"/>
          <w:color w:val="000000"/>
          <w:sz w:val="20"/>
          <w:szCs w:val="20"/>
        </w:rPr>
        <w:t>“</w:t>
      </w:r>
      <w:r>
        <w:rPr>
          <w:rFonts w:ascii="Times New Roman" w:hAnsi="Times New Roman" w:cs="Times New Roman"/>
          <w:color w:val="000000"/>
          <w:sz w:val="20"/>
          <w:szCs w:val="20"/>
        </w:rPr>
        <w:t>non-parent corporate guarantee.</w:t>
      </w:r>
      <w:r>
        <w:rPr>
          <w:rFonts w:ascii="Times New Roman" w:hAnsi="Times New Roman" w:cs="Times New Roman"/>
          <w:color w:val="000000"/>
          <w:sz w:val="20"/>
          <w:szCs w:val="20"/>
        </w:rPr>
        <w:t>”</w:t>
      </w:r>
      <w:r>
        <w:rPr>
          <w:rFonts w:ascii="Times New Roman" w:hAnsi="Times New Roman" w:cs="Times New Roman"/>
          <w:color w:val="000000"/>
          <w:sz w:val="20"/>
          <w:szCs w:val="20"/>
        </w:rPr>
        <w:t xml:space="preserve"> The terms of this guarantee shall provide for compliance with the conditions of paragraphs (c)(1)(i) through (c)(1)</w:t>
      </w:r>
      <w:r>
        <w:rPr>
          <w:rFonts w:ascii="Times New Roman" w:hAnsi="Times New Roman" w:cs="Times New Roman"/>
          <w:color w:val="000000"/>
          <w:sz w:val="20"/>
          <w:szCs w:val="20"/>
        </w:rPr>
        <w:t>(iii) of this section. The regulatory authority may require the applicant to submit any information specified in paragraph (b)(3) of this section in order to determine the financial capabilities of the applicant.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(d) For the regulatory authority to accept</w:t>
      </w:r>
      <w:r>
        <w:rPr>
          <w:rFonts w:ascii="Times New Roman" w:hAnsi="Times New Roman" w:cs="Times New Roman"/>
          <w:color w:val="000000"/>
          <w:sz w:val="20"/>
          <w:szCs w:val="20"/>
        </w:rPr>
        <w:t xml:space="preserve"> an appl</w:t>
      </w:r>
      <w:r>
        <w:rPr>
          <w:rFonts w:ascii="Times New Roman" w:hAnsi="Times New Roman" w:cs="Times New Roman"/>
          <w:color w:val="000000"/>
          <w:sz w:val="20"/>
          <w:szCs w:val="20"/>
        </w:rPr>
        <w:t>i</w:t>
      </w:r>
      <w:r>
        <w:rPr>
          <w:rFonts w:ascii="Times New Roman" w:hAnsi="Times New Roman" w:cs="Times New Roman"/>
          <w:color w:val="000000"/>
          <w:sz w:val="20"/>
          <w:szCs w:val="20"/>
        </w:rPr>
        <w:t>cant's self-bond, the total amount of the outstanding and proposed self-bonds of the applicant for surface coal mining and reclamation operations shall not e</w:t>
      </w:r>
      <w:r>
        <w:rPr>
          <w:rFonts w:ascii="Times New Roman" w:hAnsi="Times New Roman" w:cs="Times New Roman"/>
          <w:color w:val="000000"/>
          <w:sz w:val="20"/>
          <w:szCs w:val="20"/>
        </w:rPr>
        <w:t>x</w:t>
      </w:r>
      <w:r>
        <w:rPr>
          <w:rFonts w:ascii="Times New Roman" w:hAnsi="Times New Roman" w:cs="Times New Roman"/>
          <w:color w:val="000000"/>
          <w:sz w:val="20"/>
          <w:szCs w:val="20"/>
        </w:rPr>
        <w:t>ceed 25 percent of the applicant's tangible net worth in the United States. For the regul</w:t>
      </w:r>
      <w:r>
        <w:rPr>
          <w:rFonts w:ascii="Times New Roman" w:hAnsi="Times New Roman" w:cs="Times New Roman"/>
          <w:color w:val="000000"/>
          <w:sz w:val="20"/>
          <w:szCs w:val="20"/>
        </w:rPr>
        <w:t>atory authority to a</w:t>
      </w:r>
      <w:r>
        <w:rPr>
          <w:rFonts w:ascii="Times New Roman" w:hAnsi="Times New Roman" w:cs="Times New Roman"/>
          <w:color w:val="000000"/>
          <w:sz w:val="20"/>
          <w:szCs w:val="20"/>
        </w:rPr>
        <w:t>c</w:t>
      </w:r>
      <w:r>
        <w:rPr>
          <w:rFonts w:ascii="Times New Roman" w:hAnsi="Times New Roman" w:cs="Times New Roman"/>
          <w:color w:val="000000"/>
          <w:sz w:val="20"/>
          <w:szCs w:val="20"/>
        </w:rPr>
        <w:t>cept a corporate guarantee, the total amount of the parent corporation guarantor's present and proposed self-bonds and guaranteed self-bonds for surface coal mining and reclamation operations shall not exceed 25 percent of the guaranto</w:t>
      </w:r>
      <w:r>
        <w:rPr>
          <w:rFonts w:ascii="Times New Roman" w:hAnsi="Times New Roman" w:cs="Times New Roman"/>
          <w:color w:val="000000"/>
          <w:sz w:val="20"/>
          <w:szCs w:val="20"/>
        </w:rPr>
        <w:t>r's tangible net worth in the United States. For the regulatory authority to accept a non-parent corporate guarantee, the total amount of the non-parent corporate guarantor's present and proposed self-bonds and guaranteed self-bonds shall not exceed 25 per</w:t>
      </w:r>
      <w:r>
        <w:rPr>
          <w:rFonts w:ascii="Times New Roman" w:hAnsi="Times New Roman" w:cs="Times New Roman"/>
          <w:color w:val="000000"/>
          <w:sz w:val="20"/>
          <w:szCs w:val="20"/>
        </w:rPr>
        <w:t>cent of the guarantor's tangible net worth in the United States.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(e) If the regulatory authority accepts an applicant's self-bond, an indemnity agreement shall be submitted subject to the following requirements:</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(1) The indemnity agreement shall be execu</w:t>
      </w:r>
      <w:r>
        <w:rPr>
          <w:rFonts w:ascii="Times New Roman" w:hAnsi="Times New Roman" w:cs="Times New Roman"/>
          <w:color w:val="000000"/>
          <w:sz w:val="20"/>
          <w:szCs w:val="20"/>
        </w:rPr>
        <w:t>ted by all persons and parties who are to be bound by it, including the parent corporation guarantor, and shall bind each jointly and severally.</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(2) Corporations applying for a self-bond, and parent and non-parent corporations guaranteeing an applicant's </w:t>
      </w:r>
      <w:r>
        <w:rPr>
          <w:rFonts w:ascii="Times New Roman" w:hAnsi="Times New Roman" w:cs="Times New Roman"/>
          <w:color w:val="000000"/>
          <w:sz w:val="20"/>
          <w:szCs w:val="20"/>
        </w:rPr>
        <w:t xml:space="preserve">self-bond shall submit an indemnity agreement signed by two corporate officers who </w:t>
      </w:r>
      <w:r>
        <w:rPr>
          <w:rFonts w:ascii="Times New Roman" w:hAnsi="Times New Roman" w:cs="Times New Roman"/>
          <w:color w:val="000000"/>
          <w:sz w:val="20"/>
          <w:szCs w:val="20"/>
        </w:rPr>
        <w:lastRenderedPageBreak/>
        <w:t>are authorized to bind their corporations. A copy of such authorization shall be provided to the regulatory authority along with an affidavit ce</w:t>
      </w:r>
      <w:r>
        <w:rPr>
          <w:rFonts w:ascii="Times New Roman" w:hAnsi="Times New Roman" w:cs="Times New Roman"/>
          <w:color w:val="000000"/>
          <w:sz w:val="20"/>
          <w:szCs w:val="20"/>
        </w:rPr>
        <w:t>r</w:t>
      </w:r>
      <w:r>
        <w:rPr>
          <w:rFonts w:ascii="Times New Roman" w:hAnsi="Times New Roman" w:cs="Times New Roman"/>
          <w:color w:val="000000"/>
          <w:sz w:val="20"/>
          <w:szCs w:val="20"/>
        </w:rPr>
        <w:t>tifying that such an agreeme</w:t>
      </w:r>
      <w:r>
        <w:rPr>
          <w:rFonts w:ascii="Times New Roman" w:hAnsi="Times New Roman" w:cs="Times New Roman"/>
          <w:color w:val="000000"/>
          <w:sz w:val="20"/>
          <w:szCs w:val="20"/>
        </w:rPr>
        <w:t>nt is valid under all applicable Federal and State laws. In addition, the guarantor shall provide a copy of the corporate authorization demonstrating that the corporation may guarantee the self-bond and execute the i</w:t>
      </w:r>
      <w:r>
        <w:rPr>
          <w:rFonts w:ascii="Times New Roman" w:hAnsi="Times New Roman" w:cs="Times New Roman"/>
          <w:color w:val="000000"/>
          <w:sz w:val="20"/>
          <w:szCs w:val="20"/>
        </w:rPr>
        <w:t>n</w:t>
      </w:r>
      <w:r>
        <w:rPr>
          <w:rFonts w:ascii="Times New Roman" w:hAnsi="Times New Roman" w:cs="Times New Roman"/>
          <w:color w:val="000000"/>
          <w:sz w:val="20"/>
          <w:szCs w:val="20"/>
        </w:rPr>
        <w:t>demnity agreement.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(3) If the applican</w:t>
      </w:r>
      <w:r>
        <w:rPr>
          <w:rFonts w:ascii="Times New Roman" w:hAnsi="Times New Roman" w:cs="Times New Roman"/>
          <w:color w:val="000000"/>
          <w:sz w:val="20"/>
          <w:szCs w:val="20"/>
        </w:rPr>
        <w:t>t is a partnership, joint venture or syndicate, the agreement shall bind each par</w:t>
      </w:r>
      <w:r>
        <w:rPr>
          <w:rFonts w:ascii="Times New Roman" w:hAnsi="Times New Roman" w:cs="Times New Roman"/>
          <w:color w:val="000000"/>
          <w:sz w:val="20"/>
          <w:szCs w:val="20"/>
        </w:rPr>
        <w:t>t</w:t>
      </w:r>
      <w:r>
        <w:rPr>
          <w:rFonts w:ascii="Times New Roman" w:hAnsi="Times New Roman" w:cs="Times New Roman"/>
          <w:color w:val="000000"/>
          <w:sz w:val="20"/>
          <w:szCs w:val="20"/>
        </w:rPr>
        <w:t>ner or party who has a beneficial interest, directly or indirectly, in the applicant.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ind w:left="360"/>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(4) Pursuant to </w:t>
      </w:r>
      <w:hyperlink r:id="rId15" w:history="1">
        <w:r>
          <w:rPr>
            <w:rFonts w:ascii="Times New Roman" w:hAnsi="Times New Roman" w:cs="Times New Roman"/>
            <w:color w:val="0000FF"/>
            <w:sz w:val="20"/>
            <w:szCs w:val="20"/>
            <w:u w:val="single"/>
          </w:rPr>
          <w:t>§ 800.50</w:t>
        </w:r>
      </w:hyperlink>
      <w:r>
        <w:rPr>
          <w:rFonts w:ascii="Times New Roman" w:hAnsi="Times New Roman" w:cs="Times New Roman"/>
          <w:color w:val="000000"/>
          <w:sz w:val="20"/>
          <w:szCs w:val="20"/>
        </w:rPr>
        <w:t>, the applicant, parent or non-parent corporate guarantor shall be required to complete the approved reclamation plan for the lands in default or to pay to the regulatory a</w:t>
      </w:r>
      <w:r>
        <w:rPr>
          <w:rFonts w:ascii="Times New Roman" w:hAnsi="Times New Roman" w:cs="Times New Roman"/>
          <w:color w:val="000000"/>
          <w:sz w:val="20"/>
          <w:szCs w:val="20"/>
        </w:rPr>
        <w:t>u</w:t>
      </w:r>
      <w:r>
        <w:rPr>
          <w:rFonts w:ascii="Times New Roman" w:hAnsi="Times New Roman" w:cs="Times New Roman"/>
          <w:color w:val="000000"/>
          <w:sz w:val="20"/>
          <w:szCs w:val="20"/>
        </w:rPr>
        <w:t>thority an amount necessary to co</w:t>
      </w:r>
      <w:r>
        <w:rPr>
          <w:rFonts w:ascii="Times New Roman" w:hAnsi="Times New Roman" w:cs="Times New Roman"/>
          <w:color w:val="000000"/>
          <w:sz w:val="20"/>
          <w:szCs w:val="20"/>
        </w:rPr>
        <w:t>mplete the a</w:t>
      </w:r>
      <w:r>
        <w:rPr>
          <w:rFonts w:ascii="Times New Roman" w:hAnsi="Times New Roman" w:cs="Times New Roman"/>
          <w:color w:val="000000"/>
          <w:sz w:val="20"/>
          <w:szCs w:val="20"/>
        </w:rPr>
        <w:t>p</w:t>
      </w:r>
      <w:r>
        <w:rPr>
          <w:rFonts w:ascii="Times New Roman" w:hAnsi="Times New Roman" w:cs="Times New Roman"/>
          <w:color w:val="000000"/>
          <w:sz w:val="20"/>
          <w:szCs w:val="20"/>
        </w:rPr>
        <w:t>proved reclamation plan, not to exceed the bond amount. If permitted under State law, the inde</w:t>
      </w:r>
      <w:r>
        <w:rPr>
          <w:rFonts w:ascii="Times New Roman" w:hAnsi="Times New Roman" w:cs="Times New Roman"/>
          <w:color w:val="000000"/>
          <w:sz w:val="20"/>
          <w:szCs w:val="20"/>
        </w:rPr>
        <w:t>m</w:t>
      </w:r>
      <w:r>
        <w:rPr>
          <w:rFonts w:ascii="Times New Roman" w:hAnsi="Times New Roman" w:cs="Times New Roman"/>
          <w:color w:val="000000"/>
          <w:sz w:val="20"/>
          <w:szCs w:val="20"/>
        </w:rPr>
        <w:t>nity agreement when under forfeiture shall ope</w:t>
      </w:r>
      <w:r>
        <w:rPr>
          <w:rFonts w:ascii="Times New Roman" w:hAnsi="Times New Roman" w:cs="Times New Roman"/>
          <w:color w:val="000000"/>
          <w:sz w:val="20"/>
          <w:szCs w:val="20"/>
        </w:rPr>
        <w:t>r</w:t>
      </w:r>
      <w:r>
        <w:rPr>
          <w:rFonts w:ascii="Times New Roman" w:hAnsi="Times New Roman" w:cs="Times New Roman"/>
          <w:color w:val="000000"/>
          <w:sz w:val="20"/>
          <w:szCs w:val="20"/>
        </w:rPr>
        <w:t>ate as a judgment against those parties liable u</w:t>
      </w:r>
      <w:r>
        <w:rPr>
          <w:rFonts w:ascii="Times New Roman" w:hAnsi="Times New Roman" w:cs="Times New Roman"/>
          <w:color w:val="000000"/>
          <w:sz w:val="20"/>
          <w:szCs w:val="20"/>
        </w:rPr>
        <w:t>n</w:t>
      </w:r>
      <w:r>
        <w:rPr>
          <w:rFonts w:ascii="Times New Roman" w:hAnsi="Times New Roman" w:cs="Times New Roman"/>
          <w:color w:val="000000"/>
          <w:sz w:val="20"/>
          <w:szCs w:val="20"/>
        </w:rPr>
        <w:t>der the indemnity agreement.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(f) A regulatory autho</w:t>
      </w:r>
      <w:r>
        <w:rPr>
          <w:rFonts w:ascii="Times New Roman" w:hAnsi="Times New Roman" w:cs="Times New Roman"/>
          <w:color w:val="000000"/>
          <w:sz w:val="20"/>
          <w:szCs w:val="20"/>
        </w:rPr>
        <w:t>rity may require self-bonded applicants, parent and non-parent corporate guarantors to submit an update of the information required under paragraphs (b)(3) and (b)(4) of this section within 90 days after the close of each fiscal year following the issuance</w:t>
      </w:r>
      <w:r>
        <w:rPr>
          <w:rFonts w:ascii="Times New Roman" w:hAnsi="Times New Roman" w:cs="Times New Roman"/>
          <w:color w:val="000000"/>
          <w:sz w:val="20"/>
          <w:szCs w:val="20"/>
        </w:rPr>
        <w:t xml:space="preserve"> of the self-bond or corporate guarantee.</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(g) If at any time during the period when a self-bond is posted, the financial conditions of the applicant, pa</w:t>
      </w:r>
      <w:r>
        <w:rPr>
          <w:rFonts w:ascii="Times New Roman" w:hAnsi="Times New Roman" w:cs="Times New Roman"/>
          <w:color w:val="000000"/>
          <w:sz w:val="20"/>
          <w:szCs w:val="20"/>
        </w:rPr>
        <w:t>r</w:t>
      </w:r>
      <w:r>
        <w:rPr>
          <w:rFonts w:ascii="Times New Roman" w:hAnsi="Times New Roman" w:cs="Times New Roman"/>
          <w:color w:val="000000"/>
          <w:sz w:val="20"/>
          <w:szCs w:val="20"/>
        </w:rPr>
        <w:t>ent or non-parent corporate guarantor change so that the criteria of paragraphs (b)(3) and (d) of this</w:t>
      </w:r>
      <w:r>
        <w:rPr>
          <w:rFonts w:ascii="Times New Roman" w:hAnsi="Times New Roman" w:cs="Times New Roman"/>
          <w:color w:val="000000"/>
          <w:sz w:val="20"/>
          <w:szCs w:val="20"/>
        </w:rPr>
        <w:t xml:space="preserve"> section are not satisfied, the permittee shall notify the reg</w:t>
      </w:r>
      <w:r>
        <w:rPr>
          <w:rFonts w:ascii="Times New Roman" w:hAnsi="Times New Roman" w:cs="Times New Roman"/>
          <w:color w:val="000000"/>
          <w:sz w:val="20"/>
          <w:szCs w:val="20"/>
        </w:rPr>
        <w:t>u</w:t>
      </w:r>
      <w:r>
        <w:rPr>
          <w:rFonts w:ascii="Times New Roman" w:hAnsi="Times New Roman" w:cs="Times New Roman"/>
          <w:color w:val="000000"/>
          <w:sz w:val="20"/>
          <w:szCs w:val="20"/>
        </w:rPr>
        <w:t>latory authority immediately and shall within 90 days post an alternate form of bond in the same amount as the self-bond. Should the permittee fail to post an adequate substitute bond, the prov</w:t>
      </w:r>
      <w:r>
        <w:rPr>
          <w:rFonts w:ascii="Times New Roman" w:hAnsi="Times New Roman" w:cs="Times New Roman"/>
          <w:color w:val="000000"/>
          <w:sz w:val="20"/>
          <w:szCs w:val="20"/>
        </w:rPr>
        <w:t xml:space="preserve">isions of </w:t>
      </w:r>
      <w:hyperlink r:id="rId16" w:history="1">
        <w:r>
          <w:rPr>
            <w:rFonts w:ascii="Times New Roman" w:hAnsi="Times New Roman" w:cs="Times New Roman"/>
            <w:color w:val="0000FF"/>
            <w:sz w:val="20"/>
            <w:szCs w:val="20"/>
            <w:u w:val="single"/>
          </w:rPr>
          <w:t>§ 800.16(e)</w:t>
        </w:r>
      </w:hyperlink>
      <w:r>
        <w:rPr>
          <w:rFonts w:ascii="Times New Roman" w:hAnsi="Times New Roman" w:cs="Times New Roman"/>
          <w:color w:val="000000"/>
          <w:sz w:val="20"/>
          <w:szCs w:val="20"/>
        </w:rPr>
        <w:t xml:space="preserve"> shall apply.</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w:t>
      </w:r>
      <w:hyperlink r:id="rId17" w:history="1">
        <w:r>
          <w:rPr>
            <w:rFonts w:ascii="Times New Roman" w:hAnsi="Times New Roman" w:cs="Times New Roman"/>
            <w:color w:val="0000FF"/>
            <w:sz w:val="20"/>
            <w:szCs w:val="20"/>
            <w:u w:val="single"/>
          </w:rPr>
          <w:t>48 FR 36429</w:t>
        </w:r>
      </w:hyperlink>
      <w:r>
        <w:rPr>
          <w:rFonts w:ascii="Times New Roman" w:hAnsi="Times New Roman" w:cs="Times New Roman"/>
          <w:color w:val="000000"/>
          <w:sz w:val="20"/>
          <w:szCs w:val="20"/>
        </w:rPr>
        <w:t xml:space="preserve">, Aug. 10, 1983; </w:t>
      </w:r>
      <w:hyperlink r:id="rId18" w:history="1">
        <w:r>
          <w:rPr>
            <w:rFonts w:ascii="Times New Roman" w:hAnsi="Times New Roman" w:cs="Times New Roman"/>
            <w:color w:val="0000FF"/>
            <w:sz w:val="20"/>
            <w:szCs w:val="20"/>
            <w:u w:val="single"/>
          </w:rPr>
          <w:t>53 FR 997</w:t>
        </w:r>
      </w:hyperlink>
      <w:r>
        <w:rPr>
          <w:rFonts w:ascii="Times New Roman" w:hAnsi="Times New Roman" w:cs="Times New Roman"/>
          <w:color w:val="000000"/>
          <w:sz w:val="20"/>
          <w:szCs w:val="20"/>
        </w:rPr>
        <w:t>, Jan. 14, 1988]</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SOURCE: </w:t>
      </w:r>
      <w:hyperlink r:id="rId19" w:history="1">
        <w:r>
          <w:rPr>
            <w:rFonts w:ascii="Times New Roman" w:hAnsi="Times New Roman" w:cs="Times New Roman"/>
            <w:color w:val="0000FF"/>
            <w:sz w:val="20"/>
            <w:szCs w:val="20"/>
            <w:u w:val="single"/>
          </w:rPr>
          <w:t>48 FR 32959</w:t>
        </w:r>
      </w:hyperlink>
      <w:r>
        <w:rPr>
          <w:rFonts w:ascii="Times New Roman" w:hAnsi="Times New Roman" w:cs="Times New Roman"/>
          <w:color w:val="000000"/>
          <w:sz w:val="20"/>
          <w:szCs w:val="20"/>
        </w:rPr>
        <w:t xml:space="preserve">, July 19, 1983; </w:t>
      </w:r>
      <w:hyperlink r:id="rId20" w:history="1">
        <w:r>
          <w:rPr>
            <w:rFonts w:ascii="Times New Roman" w:hAnsi="Times New Roman" w:cs="Times New Roman"/>
            <w:color w:val="0000FF"/>
            <w:sz w:val="20"/>
            <w:szCs w:val="20"/>
            <w:u w:val="single"/>
          </w:rPr>
          <w:t>53 FR 997</w:t>
        </w:r>
      </w:hyperlink>
      <w:r>
        <w:rPr>
          <w:rFonts w:ascii="Times New Roman" w:hAnsi="Times New Roman" w:cs="Times New Roman"/>
          <w:color w:val="000000"/>
          <w:sz w:val="20"/>
          <w:szCs w:val="20"/>
        </w:rPr>
        <w:t>, Jan. 14, 1988; 53 FR 21767, June 9, 1988; 54 FR 13823, April 5, 1989, unless otherwise noted.</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AUTHORITY: </w:t>
      </w:r>
      <w:hyperlink r:id="rId21" w:history="1">
        <w:r>
          <w:rPr>
            <w:rFonts w:ascii="Times New Roman" w:hAnsi="Times New Roman" w:cs="Times New Roman"/>
            <w:color w:val="0000FF"/>
            <w:sz w:val="20"/>
            <w:szCs w:val="20"/>
            <w:u w:val="single"/>
          </w:rPr>
          <w:t>30 U.S.C. 1201 et seq.,</w:t>
        </w:r>
      </w:hyperlink>
      <w:r>
        <w:rPr>
          <w:rFonts w:ascii="Times New Roman" w:hAnsi="Times New Roman" w:cs="Times New Roman"/>
          <w:color w:val="000000"/>
          <w:sz w:val="20"/>
          <w:szCs w:val="20"/>
        </w:rPr>
        <w:t xml:space="preserve"> as amended; and </w:t>
      </w:r>
      <w:hyperlink r:id="rId22" w:history="1">
        <w:r>
          <w:rPr>
            <w:rFonts w:ascii="Times New Roman" w:hAnsi="Times New Roman" w:cs="Times New Roman"/>
            <w:color w:val="0000FF"/>
            <w:sz w:val="20"/>
            <w:szCs w:val="20"/>
            <w:u w:val="single"/>
          </w:rPr>
          <w:t>Pub.L. 100-34.</w:t>
        </w:r>
      </w:hyperlink>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30 C. F. R. § 800.23, 30 CFR § 800.23</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bookmarkStart w:id="2" w:name="Document1zzIDBD99D50CD9411DF826DE816F057"/>
      <w:bookmarkEnd w:id="2"/>
      <w:r>
        <w:rPr>
          <w:rFonts w:ascii="Times New Roman" w:hAnsi="Times New Roman" w:cs="Times New Roman"/>
          <w:color w:val="000000"/>
          <w:sz w:val="20"/>
          <w:szCs w:val="20"/>
        </w:rPr>
        <w:t>Current through December 9, 2010; 75 FR 76892</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 xml:space="preserve">© 2010 Thomson Reuters </w:t>
      </w:r>
    </w:p>
    <w:p w:rsidR="00000000" w:rsidRDefault="00531968">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0"/>
          <w:szCs w:val="20"/>
        </w:rPr>
        <w:t>END OF DOCUMENT</w:t>
      </w:r>
    </w:p>
    <w:p w:rsidR="00000000" w:rsidRDefault="00531968">
      <w:pPr>
        <w:widowControl w:val="0"/>
        <w:autoSpaceDE w:val="0"/>
        <w:autoSpaceDN w:val="0"/>
        <w:adjustRightInd w:val="0"/>
        <w:spacing w:after="0" w:line="240" w:lineRule="auto"/>
        <w:rPr>
          <w:rFonts w:ascii="Times New Roman" w:hAnsi="Times New Roman" w:cs="Times New Roman"/>
          <w:color w:val="000000"/>
          <w:sz w:val="24"/>
          <w:szCs w:val="24"/>
        </w:rPr>
      </w:pPr>
      <w:bookmarkStart w:id="3" w:name="last-page"/>
      <w:bookmarkEnd w:id="3"/>
    </w:p>
    <w:p w:rsidR="00531968" w:rsidRDefault="00531968">
      <w:pPr>
        <w:widowControl w:val="0"/>
        <w:autoSpaceDE w:val="0"/>
        <w:autoSpaceDN w:val="0"/>
        <w:adjustRightInd w:val="0"/>
        <w:spacing w:after="0" w:line="240" w:lineRule="auto"/>
        <w:rPr>
          <w:rFonts w:ascii="Times New Roman" w:hAnsi="Times New Roman" w:cs="Times New Roman"/>
          <w:sz w:val="24"/>
          <w:szCs w:val="24"/>
        </w:rPr>
      </w:pPr>
    </w:p>
    <w:sectPr w:rsidR="00531968">
      <w:headerReference w:type="default" r:id="rId23"/>
      <w:footerReference w:type="default" r:id="rId24"/>
      <w:type w:val="continuous"/>
      <w:pgSz w:w="12240" w:h="15840"/>
      <w:pgMar w:top="2016" w:right="1440" w:bottom="1800" w:left="1440" w:header="720" w:footer="720" w:gutter="0"/>
      <w:cols w:num="2"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968" w:rsidRDefault="00531968" w:rsidP="00E905B6">
      <w:pPr>
        <w:spacing w:after="0" w:line="240" w:lineRule="auto"/>
      </w:pPr>
      <w:r>
        <w:separator/>
      </w:r>
    </w:p>
  </w:endnote>
  <w:endnote w:type="continuationSeparator" w:id="0">
    <w:p w:rsidR="00531968" w:rsidRDefault="00531968" w:rsidP="00E905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31968">
    <w:pPr>
      <w:widowControl w:val="0"/>
      <w:autoSpaceDE w:val="0"/>
      <w:autoSpaceDN w:val="0"/>
      <w:adjustRightInd w:val="0"/>
      <w:spacing w:after="0" w:line="240" w:lineRule="auto"/>
      <w:jc w:val="center"/>
      <w:rPr>
        <w:rFonts w:ascii="Arial" w:hAnsi="Arial" w:cs="Arial"/>
        <w:color w:val="000000"/>
        <w:sz w:val="24"/>
        <w:szCs w:val="24"/>
      </w:rPr>
    </w:pPr>
    <w:r>
      <w:rPr>
        <w:rFonts w:ascii="Times New Roman" w:hAnsi="Times New Roman" w:cs="Times New Roman"/>
        <w:color w:val="000000"/>
        <w:sz w:val="20"/>
        <w:szCs w:val="20"/>
      </w:rPr>
      <w:t>© 2010 Thomson Reuters. No Claim to Orig. US Gov. Works.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31968">
    <w:pPr>
      <w:widowControl w:val="0"/>
      <w:autoSpaceDE w:val="0"/>
      <w:autoSpaceDN w:val="0"/>
      <w:adjustRightInd w:val="0"/>
      <w:spacing w:after="0" w:line="240" w:lineRule="auto"/>
      <w:jc w:val="center"/>
      <w:rPr>
        <w:rFonts w:ascii="Arial" w:hAnsi="Arial" w:cs="Arial"/>
        <w:color w:val="000000"/>
        <w:sz w:val="24"/>
        <w:szCs w:val="24"/>
      </w:rPr>
    </w:pPr>
    <w:r>
      <w:rPr>
        <w:rFonts w:ascii="Times New Roman" w:hAnsi="Times New Roman" w:cs="Times New Roman"/>
        <w:color w:val="000000"/>
        <w:sz w:val="20"/>
        <w:szCs w:val="20"/>
      </w:rPr>
      <w:t>© 2010 Thomson Reuters. No Claim to Orig. US Gov. Works.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968" w:rsidRDefault="00531968" w:rsidP="00E905B6">
      <w:pPr>
        <w:spacing w:after="0" w:line="240" w:lineRule="auto"/>
      </w:pPr>
      <w:r>
        <w:separator/>
      </w:r>
    </w:p>
  </w:footnote>
  <w:footnote w:type="continuationSeparator" w:id="0">
    <w:p w:rsidR="00531968" w:rsidRDefault="00531968" w:rsidP="00E905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right w:w="0" w:type="dxa"/>
      </w:tblCellMar>
      <w:tblLook w:val="0000"/>
    </w:tblPr>
    <w:tblGrid>
      <w:gridCol w:w="6480"/>
      <w:gridCol w:w="2880"/>
    </w:tblGrid>
    <w:tr w:rsidR="00000000">
      <w:tblPrEx>
        <w:tblCellMar>
          <w:top w:w="0" w:type="dxa"/>
          <w:left w:w="0" w:type="dxa"/>
          <w:bottom w:w="0" w:type="dxa"/>
          <w:right w:w="0" w:type="dxa"/>
        </w:tblCellMar>
      </w:tblPrEx>
      <w:tc>
        <w:tcPr>
          <w:tcW w:w="6480" w:type="dxa"/>
          <w:tcBorders>
            <w:top w:val="nil"/>
            <w:left w:val="nil"/>
            <w:bottom w:val="nil"/>
            <w:right w:val="nil"/>
          </w:tcBorders>
          <w:tcMar>
            <w:top w:w="0" w:type="dxa"/>
            <w:left w:w="0" w:type="dxa"/>
            <w:bottom w:w="0" w:type="dxa"/>
            <w:right w:w="0" w:type="dxa"/>
          </w:tcMar>
        </w:tcPr>
        <w:p w:rsidR="00000000" w:rsidRDefault="002E022C">
          <w:pPr>
            <w:widowControl w:val="0"/>
            <w:autoSpaceDE w:val="0"/>
            <w:autoSpaceDN w:val="0"/>
            <w:adjustRightInd w:val="0"/>
            <w:spacing w:after="0" w:line="240" w:lineRule="auto"/>
            <w:rPr>
              <w:rFonts w:ascii="Arial" w:hAnsi="Arial" w:cs="Arial"/>
              <w:color w:val="000000"/>
              <w:sz w:val="24"/>
              <w:szCs w:val="24"/>
            </w:rPr>
          </w:pPr>
          <w:r>
            <w:rPr>
              <w:rFonts w:ascii="Times New Roman" w:hAnsi="Times New Roman" w:cs="Times New Roman"/>
              <w:noProof/>
              <w:color w:val="000000"/>
              <w:sz w:val="20"/>
              <w:szCs w:val="20"/>
            </w:rPr>
            <w:drawing>
              <wp:inline distT="0" distB="0" distL="0" distR="0">
                <wp:extent cx="685800" cy="3429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85800" cy="342900"/>
                        </a:xfrm>
                        <a:prstGeom prst="rect">
                          <a:avLst/>
                        </a:prstGeom>
                        <a:noFill/>
                        <a:ln w="9525">
                          <a:noFill/>
                          <a:miter lim="800000"/>
                          <a:headEnd/>
                          <a:tailEnd/>
                        </a:ln>
                      </pic:spPr>
                    </pic:pic>
                  </a:graphicData>
                </a:graphic>
              </wp:inline>
            </w:drawing>
          </w:r>
        </w:p>
      </w:tc>
      <w:tc>
        <w:tcPr>
          <w:tcW w:w="2880" w:type="dxa"/>
          <w:tcBorders>
            <w:top w:val="nil"/>
            <w:left w:val="nil"/>
            <w:bottom w:val="nil"/>
            <w:right w:val="nil"/>
          </w:tcBorders>
          <w:tcMar>
            <w:top w:w="0" w:type="dxa"/>
            <w:left w:w="0" w:type="dxa"/>
            <w:bottom w:w="0" w:type="dxa"/>
            <w:right w:w="0" w:type="dxa"/>
          </w:tcMar>
        </w:tcPr>
        <w:p w:rsidR="00000000" w:rsidRDefault="00531968">
          <w:pPr>
            <w:widowControl w:val="0"/>
            <w:autoSpaceDE w:val="0"/>
            <w:autoSpaceDN w:val="0"/>
            <w:adjustRightInd w:val="0"/>
            <w:spacing w:after="0" w:line="240" w:lineRule="auto"/>
            <w:rPr>
              <w:rFonts w:ascii="Arial" w:hAnsi="Arial" w:cs="Arial"/>
              <w:color w:val="000000"/>
              <w:sz w:val="24"/>
              <w:szCs w:val="24"/>
            </w:rPr>
          </w:pPr>
        </w:p>
      </w:tc>
    </w:tr>
    <w:tr w:rsidR="00000000">
      <w:tblPrEx>
        <w:tblCellMar>
          <w:top w:w="0" w:type="dxa"/>
          <w:left w:w="0" w:type="dxa"/>
          <w:bottom w:w="0" w:type="dxa"/>
          <w:right w:w="0" w:type="dxa"/>
        </w:tblCellMar>
      </w:tblPrEx>
      <w:tc>
        <w:tcPr>
          <w:tcW w:w="6480" w:type="dxa"/>
          <w:tcBorders>
            <w:top w:val="nil"/>
            <w:left w:val="nil"/>
            <w:bottom w:val="nil"/>
            <w:right w:val="nil"/>
          </w:tcBorders>
          <w:tcMar>
            <w:top w:w="0" w:type="dxa"/>
            <w:left w:w="0" w:type="dxa"/>
            <w:bottom w:w="0" w:type="dxa"/>
            <w:right w:w="0" w:type="dxa"/>
          </w:tcMar>
        </w:tcPr>
        <w:p w:rsidR="00000000" w:rsidRDefault="00531968">
          <w:pPr>
            <w:widowControl w:val="0"/>
            <w:autoSpaceDE w:val="0"/>
            <w:autoSpaceDN w:val="0"/>
            <w:adjustRightInd w:val="0"/>
            <w:spacing w:after="0" w:line="240" w:lineRule="auto"/>
            <w:rPr>
              <w:rFonts w:ascii="Arial" w:hAnsi="Arial" w:cs="Arial"/>
              <w:color w:val="000000"/>
              <w:sz w:val="24"/>
              <w:szCs w:val="24"/>
            </w:rPr>
          </w:pPr>
          <w:r>
            <w:rPr>
              <w:rFonts w:ascii="Times New Roman" w:hAnsi="Times New Roman" w:cs="Times New Roman"/>
              <w:color w:val="000000"/>
              <w:sz w:val="20"/>
              <w:szCs w:val="20"/>
            </w:rPr>
            <w:t>30 C.F.R. § 800.23</w:t>
          </w:r>
        </w:p>
      </w:tc>
      <w:tc>
        <w:tcPr>
          <w:tcW w:w="2880" w:type="dxa"/>
          <w:tcBorders>
            <w:top w:val="nil"/>
            <w:left w:val="nil"/>
            <w:bottom w:val="nil"/>
            <w:right w:val="nil"/>
          </w:tcBorders>
          <w:tcMar>
            <w:top w:w="0" w:type="dxa"/>
            <w:left w:w="0" w:type="dxa"/>
            <w:bottom w:w="0" w:type="dxa"/>
            <w:right w:w="0" w:type="dxa"/>
          </w:tcMar>
        </w:tcPr>
        <w:p w:rsidR="00000000" w:rsidRDefault="00531968">
          <w:pPr>
            <w:widowControl w:val="0"/>
            <w:autoSpaceDE w:val="0"/>
            <w:autoSpaceDN w:val="0"/>
            <w:adjustRightInd w:val="0"/>
            <w:spacing w:after="0" w:line="240" w:lineRule="auto"/>
            <w:jc w:val="right"/>
            <w:rPr>
              <w:rFonts w:ascii="Arial" w:hAnsi="Arial" w:cs="Arial"/>
              <w:color w:val="000000"/>
              <w:sz w:val="24"/>
              <w:szCs w:val="24"/>
            </w:rPr>
          </w:pPr>
          <w:r>
            <w:rPr>
              <w:rFonts w:ascii="Times New Roman" w:hAnsi="Times New Roman" w:cs="Times New Roman"/>
              <w:color w:val="000000"/>
              <w:sz w:val="20"/>
              <w:szCs w:val="20"/>
            </w:rPr>
            <w:t xml:space="preserve">Page </w:t>
          </w:r>
          <w:r>
            <w:rPr>
              <w:rFonts w:ascii="Times New Roman" w:hAnsi="Times New Roman" w:cs="Times New Roman"/>
              <w:color w:val="000000"/>
              <w:sz w:val="20"/>
              <w:szCs w:val="20"/>
            </w:rPr>
            <w:pgNum/>
          </w:r>
        </w:p>
      </w:tc>
    </w:tr>
  </w:tbl>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0" w:type="dxa"/>
        <w:right w:w="0" w:type="dxa"/>
      </w:tblCellMar>
      <w:tblLook w:val="0000"/>
    </w:tblPr>
    <w:tblGrid>
      <w:gridCol w:w="6480"/>
      <w:gridCol w:w="2880"/>
    </w:tblGrid>
    <w:tr w:rsidR="00000000">
      <w:tblPrEx>
        <w:tblCellMar>
          <w:top w:w="0" w:type="dxa"/>
          <w:left w:w="0" w:type="dxa"/>
          <w:bottom w:w="0" w:type="dxa"/>
          <w:right w:w="0" w:type="dxa"/>
        </w:tblCellMar>
      </w:tblPrEx>
      <w:tc>
        <w:tcPr>
          <w:tcW w:w="6480" w:type="dxa"/>
          <w:tcBorders>
            <w:top w:val="nil"/>
            <w:left w:val="nil"/>
            <w:bottom w:val="nil"/>
            <w:right w:val="nil"/>
          </w:tcBorders>
          <w:tcMar>
            <w:top w:w="0" w:type="dxa"/>
            <w:left w:w="0" w:type="dxa"/>
            <w:bottom w:w="0" w:type="dxa"/>
            <w:right w:w="0" w:type="dxa"/>
          </w:tcMar>
        </w:tcPr>
        <w:p w:rsidR="00000000" w:rsidRDefault="00531968">
          <w:pPr>
            <w:widowControl w:val="0"/>
            <w:autoSpaceDE w:val="0"/>
            <w:autoSpaceDN w:val="0"/>
            <w:adjustRightInd w:val="0"/>
            <w:spacing w:after="0" w:line="240" w:lineRule="auto"/>
            <w:rPr>
              <w:rFonts w:ascii="Arial" w:hAnsi="Arial" w:cs="Arial"/>
              <w:color w:val="000000"/>
              <w:sz w:val="24"/>
              <w:szCs w:val="24"/>
            </w:rPr>
          </w:pPr>
          <w:r>
            <w:rPr>
              <w:rFonts w:ascii="Times New Roman" w:hAnsi="Times New Roman" w:cs="Times New Roman"/>
              <w:color w:val="000000"/>
              <w:sz w:val="20"/>
              <w:szCs w:val="20"/>
            </w:rPr>
            <w:t>30 C.F.R. § 800.23</w:t>
          </w:r>
        </w:p>
      </w:tc>
      <w:tc>
        <w:tcPr>
          <w:tcW w:w="2880" w:type="dxa"/>
          <w:tcBorders>
            <w:top w:val="nil"/>
            <w:left w:val="nil"/>
            <w:bottom w:val="nil"/>
            <w:right w:val="nil"/>
          </w:tcBorders>
          <w:tcMar>
            <w:top w:w="0" w:type="dxa"/>
            <w:left w:w="0" w:type="dxa"/>
            <w:bottom w:w="0" w:type="dxa"/>
            <w:right w:w="0" w:type="dxa"/>
          </w:tcMar>
        </w:tcPr>
        <w:p w:rsidR="00000000" w:rsidRDefault="00531968">
          <w:pPr>
            <w:widowControl w:val="0"/>
            <w:autoSpaceDE w:val="0"/>
            <w:autoSpaceDN w:val="0"/>
            <w:adjustRightInd w:val="0"/>
            <w:spacing w:after="0" w:line="240" w:lineRule="auto"/>
            <w:jc w:val="right"/>
            <w:rPr>
              <w:rFonts w:ascii="Arial" w:hAnsi="Arial" w:cs="Arial"/>
              <w:color w:val="000000"/>
              <w:sz w:val="24"/>
              <w:szCs w:val="24"/>
            </w:rPr>
          </w:pPr>
          <w:r>
            <w:rPr>
              <w:rFonts w:ascii="Times New Roman" w:hAnsi="Times New Roman" w:cs="Times New Roman"/>
              <w:color w:val="000000"/>
              <w:sz w:val="20"/>
              <w:szCs w:val="20"/>
            </w:rPr>
            <w:t xml:space="preserve">Page </w:t>
          </w:r>
          <w:r>
            <w:rPr>
              <w:rFonts w:ascii="Times New Roman" w:hAnsi="Times New Roman" w:cs="Times New Roman"/>
              <w:color w:val="000000"/>
              <w:sz w:val="20"/>
              <w:szCs w:val="20"/>
            </w:rPr>
            <w:pgNum/>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C30FFE"/>
    <w:rsid w:val="002E022C"/>
    <w:rsid w:val="00531968"/>
    <w:rsid w:val="00C30F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estlaw.com/Find/Default.wl?rs=dfa1.0&amp;vr=2.0&amp;DB=CFR&amp;FindType=l" TargetMode="External"/><Relationship Id="rId18" Type="http://schemas.openxmlformats.org/officeDocument/2006/relationships/hyperlink" Target="http://www.westlaw.com/Find/Default.wl?rs=dfa1.0&amp;vr=2.0&amp;DB=184736&amp;DocName=UUID%28I1BBD2B2030-7511DA815BD-679F0D6A697%29&amp;FindType=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westlaw.com/Find/Default.wl?rs=dfa1.0&amp;vr=2.0&amp;DB=1000546&amp;DocName=30USCAS1201&amp;FindType=Y" TargetMode="External"/><Relationship Id="rId7" Type="http://schemas.openxmlformats.org/officeDocument/2006/relationships/header" Target="header1.xml"/><Relationship Id="rId12" Type="http://schemas.openxmlformats.org/officeDocument/2006/relationships/hyperlink" Target="http://www.westlaw.com/Find/Default.wl?rs=dfa1.0&amp;vr=2.0&amp;DB=CFR&amp;DocName=PRT+++++++++%28+++++++++005823738+++++++++%29+%25+CI%28REFS+%28DISP+%2F2+TABLE%29+%28MISC+%2F2+TABLE%29%29++++++++&amp;FindType=l&amp;JL=2&amp;SR=SB" TargetMode="External"/><Relationship Id="rId17" Type="http://schemas.openxmlformats.org/officeDocument/2006/relationships/hyperlink" Target="http://www.westlaw.com/Find/Default.wl?rs=dfa1.0&amp;vr=2.0&amp;DB=184736&amp;DocName=UUID%28IE251F01035-BE11DABAA48-F9C8B1C0930%29&amp;FindType=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estlaw.com/Find/Default.wl?rs=dfa1.0&amp;vr=2.0&amp;DB=1000547&amp;DocName=30CFRS800.16&amp;FindType=Y&amp;ReferencePositionType=S&amp;ReferencePosition=7fdd00001ca15" TargetMode="External"/><Relationship Id="rId20" Type="http://schemas.openxmlformats.org/officeDocument/2006/relationships/hyperlink" Target="http://www.westlaw.com/Find/Default.wl?rs=dfa1.0&amp;vr=2.0&amp;DB=184736&amp;DocName=UUID%28I1BBD2B2030-7511DA815BD-679F0D6A697%29&amp;FindTyp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westlaw.com/Find/Default.wl?rs=dfa1.0&amp;vr=2.0&amp;DB=1000547&amp;DocName=30CFRS800.50&amp;FindType=Y" TargetMode="External"/><Relationship Id="rId23" Type="http://schemas.openxmlformats.org/officeDocument/2006/relationships/header" Target="header2.xml"/><Relationship Id="rId10" Type="http://schemas.openxmlformats.org/officeDocument/2006/relationships/hyperlink" Target="http://www.westlaw.com/Find/Default.wl?rs=dfa1.0&amp;vr=2.0&amp;DB=CFR&amp;DocName=PRT+++++++++%28+++++++++005823737+++++++++%29+%25+CI%28REFS+%28DISP+%2F2+TABLE%29+%28MISC+%2F2+TABLE%29%29++++++++&amp;FindType=l&amp;JL=2&amp;SR=SB" TargetMode="External"/><Relationship Id="rId19" Type="http://schemas.openxmlformats.org/officeDocument/2006/relationships/hyperlink" Target="http://www.westlaw.com/Find/Default.wl?rs=dfa1.0&amp;vr=2.0&amp;DB=0001037&amp;DocName=48FR32959&amp;FindType=Y"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www.westlaw.com/Find/Default.wl?rs=dfa1.0&amp;vr=2.0&amp;DB=1077005&amp;DocName=UU%28IE06A1A1DBB-E9411F9C316-82C5BF407EC%29&amp;FindType=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1672</Words>
  <Characters>9535</Characters>
  <Application>Microsoft Office Word</Application>
  <DocSecurity>0</DocSecurity>
  <Lines>79</Lines>
  <Paragraphs>22</Paragraphs>
  <ScaleCrop>false</ScaleCrop>
  <Company/>
  <LinksUpToDate>false</LinksUpToDate>
  <CharactersWithSpaces>11185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10.12.1.3.V2</dc:creator>
  <cp:keywords/>
  <dc:description/>
  <cp:lastModifiedBy>jsluth</cp:lastModifiedBy>
  <cp:revision>2</cp:revision>
  <dcterms:created xsi:type="dcterms:W3CDTF">2010-12-15T16:19:00Z</dcterms:created>
  <dcterms:modified xsi:type="dcterms:W3CDTF">2010-12-15T16:19:00Z</dcterms:modified>
</cp:coreProperties>
</file>