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F4F6B" w14:textId="77777777" w:rsidR="00B47BB1" w:rsidRPr="00B47BB1" w:rsidRDefault="00B47BB1" w:rsidP="00B47BB1">
      <w:pPr>
        <w:widowControl w:val="0"/>
        <w:tabs>
          <w:tab w:val="left" w:pos="360"/>
          <w:tab w:val="left" w:pos="360"/>
          <w:tab w:val="left" w:pos="360"/>
          <w:tab w:val="left" w:pos="360"/>
        </w:tabs>
        <w:overflowPunct w:val="0"/>
        <w:autoSpaceDE w:val="0"/>
        <w:autoSpaceDN w:val="0"/>
        <w:adjustRightInd w:val="0"/>
        <w:spacing w:before="220" w:line="260" w:lineRule="atLeast"/>
        <w:ind w:firstLine="360"/>
        <w:jc w:val="both"/>
        <w:textAlignment w:val="baseline"/>
        <w:outlineLvl w:val="1"/>
        <w:rPr>
          <w:b/>
          <w:noProof/>
          <w:color w:val="000000"/>
          <w:sz w:val="20"/>
          <w:szCs w:val="20"/>
        </w:rPr>
      </w:pPr>
      <w:r w:rsidRPr="00B47BB1">
        <w:rPr>
          <w:b/>
          <w:noProof/>
          <w:color w:val="000000"/>
          <w:sz w:val="20"/>
          <w:szCs w:val="20"/>
        </w:rPr>
        <w:t>60A-1.001 Definitions.</w:t>
      </w:r>
    </w:p>
    <w:p w14:paraId="38E6B8C7" w14:textId="77777777" w:rsidR="00B47BB1" w:rsidRPr="00B47BB1" w:rsidRDefault="00B47BB1" w:rsidP="00B47BB1">
      <w:pPr>
        <w:widowControl w:val="0"/>
        <w:overflowPunct w:val="0"/>
        <w:adjustRightInd w:val="0"/>
        <w:spacing w:line="260" w:lineRule="atLeast"/>
        <w:jc w:val="both"/>
        <w:textAlignment w:val="baseline"/>
        <w:rPr>
          <w:sz w:val="20"/>
          <w:szCs w:val="20"/>
        </w:rPr>
      </w:pPr>
      <w:r w:rsidRPr="00B47BB1">
        <w:rPr>
          <w:noProof/>
          <w:sz w:val="20"/>
          <w:szCs w:val="20"/>
        </w:rPr>
        <w:t>This rule defines terms used in Rule Chapter 60A-1, F.A.C. Other terms used in Rule Chapter 60A-1, F.A.C., shall be construed in accordance with definitions contained in Chapter 287, F.S. Terms not defined by statute or rule shall be construed according to their plain meaning, and in all cases with the objective of advancing the purpose of the rule in which they appear.</w:t>
      </w:r>
    </w:p>
    <w:p w14:paraId="064B7C58" w14:textId="77777777" w:rsidR="00B47BB1" w:rsidRPr="00B47BB1" w:rsidRDefault="00B47BB1" w:rsidP="00B47BB1">
      <w:pPr>
        <w:widowControl w:val="0"/>
        <w:tabs>
          <w:tab w:val="left" w:pos="360"/>
        </w:tabs>
        <w:overflowPunct w:val="0"/>
        <w:adjustRightInd w:val="0"/>
        <w:spacing w:line="260" w:lineRule="atLeast"/>
        <w:ind w:firstLine="360"/>
        <w:jc w:val="both"/>
        <w:textAlignment w:val="baseline"/>
        <w:rPr>
          <w:noProof/>
          <w:sz w:val="20"/>
          <w:szCs w:val="20"/>
        </w:rPr>
      </w:pPr>
      <w:r w:rsidRPr="00B47BB1">
        <w:rPr>
          <w:noProof/>
          <w:sz w:val="20"/>
          <w:szCs w:val="20"/>
        </w:rPr>
        <w:t>(1) “Agency Alternate Contract Source” means a Contract that is authorized pursuant to Rule 60A-1.045(6), F.A.C.</w:t>
      </w:r>
    </w:p>
    <w:p w14:paraId="18EDEB7A" w14:textId="77777777" w:rsidR="00B47BB1" w:rsidRPr="00B47BB1" w:rsidRDefault="00B47BB1" w:rsidP="00B47BB1">
      <w:pPr>
        <w:widowControl w:val="0"/>
        <w:tabs>
          <w:tab w:val="left" w:pos="360"/>
        </w:tabs>
        <w:overflowPunct w:val="0"/>
        <w:adjustRightInd w:val="0"/>
        <w:spacing w:line="260" w:lineRule="atLeast"/>
        <w:ind w:firstLine="360"/>
        <w:jc w:val="both"/>
        <w:textAlignment w:val="baseline"/>
        <w:rPr>
          <w:noProof/>
          <w:sz w:val="20"/>
          <w:szCs w:val="20"/>
        </w:rPr>
      </w:pPr>
      <w:r w:rsidRPr="00B47BB1">
        <w:rPr>
          <w:noProof/>
          <w:sz w:val="20"/>
          <w:szCs w:val="20"/>
        </w:rPr>
        <w:t>(2) “Contract” means a Written Agreement or Purchase Order between a Customer and a Contractor.</w:t>
      </w:r>
    </w:p>
    <w:p w14:paraId="7A6F60F0" w14:textId="77777777" w:rsidR="00B47BB1" w:rsidRPr="00B47BB1" w:rsidRDefault="00B47BB1" w:rsidP="00B47BB1">
      <w:pPr>
        <w:widowControl w:val="0"/>
        <w:tabs>
          <w:tab w:val="left" w:pos="360"/>
        </w:tabs>
        <w:overflowPunct w:val="0"/>
        <w:adjustRightInd w:val="0"/>
        <w:spacing w:line="260" w:lineRule="atLeast"/>
        <w:ind w:firstLine="360"/>
        <w:jc w:val="both"/>
        <w:textAlignment w:val="baseline"/>
        <w:rPr>
          <w:sz w:val="20"/>
          <w:szCs w:val="20"/>
        </w:rPr>
      </w:pPr>
      <w:r w:rsidRPr="00B47BB1">
        <w:rPr>
          <w:noProof/>
          <w:sz w:val="20"/>
          <w:szCs w:val="20"/>
        </w:rPr>
        <w:t>(3) “Customer” means an Agency or an Eligible User.</w:t>
      </w:r>
    </w:p>
    <w:p w14:paraId="1DE6CB2E" w14:textId="77777777" w:rsidR="00B47BB1" w:rsidRPr="00B47BB1" w:rsidRDefault="00B47BB1" w:rsidP="00B47BB1">
      <w:pPr>
        <w:widowControl w:val="0"/>
        <w:tabs>
          <w:tab w:val="left" w:pos="360"/>
        </w:tabs>
        <w:overflowPunct w:val="0"/>
        <w:adjustRightInd w:val="0"/>
        <w:spacing w:line="260" w:lineRule="atLeast"/>
        <w:ind w:firstLine="360"/>
        <w:jc w:val="both"/>
        <w:textAlignment w:val="baseline"/>
        <w:rPr>
          <w:sz w:val="20"/>
          <w:szCs w:val="20"/>
        </w:rPr>
      </w:pPr>
      <w:r w:rsidRPr="00B47BB1">
        <w:rPr>
          <w:noProof/>
          <w:sz w:val="20"/>
          <w:szCs w:val="20"/>
        </w:rPr>
        <w:t>(4) “Eligible User” means:</w:t>
      </w:r>
    </w:p>
    <w:p w14:paraId="3A0D5E15" w14:textId="77777777" w:rsidR="00B47BB1" w:rsidRPr="00B47BB1" w:rsidRDefault="00B47BB1" w:rsidP="00B47BB1">
      <w:pPr>
        <w:widowControl w:val="0"/>
        <w:tabs>
          <w:tab w:val="left" w:pos="360"/>
        </w:tabs>
        <w:overflowPunct w:val="0"/>
        <w:adjustRightInd w:val="0"/>
        <w:spacing w:line="260" w:lineRule="atLeast"/>
        <w:ind w:firstLine="360"/>
        <w:jc w:val="both"/>
        <w:textAlignment w:val="baseline"/>
        <w:rPr>
          <w:sz w:val="20"/>
          <w:szCs w:val="20"/>
        </w:rPr>
      </w:pPr>
      <w:r w:rsidRPr="00B47BB1">
        <w:rPr>
          <w:noProof/>
          <w:sz w:val="20"/>
          <w:szCs w:val="20"/>
        </w:rPr>
        <w:t>(a) United States government departments, commissions, agencies, and instrumentalities thereof, having a physical presence within the State of Florida;</w:t>
      </w:r>
    </w:p>
    <w:p w14:paraId="2DDF1236" w14:textId="77777777" w:rsidR="00B47BB1" w:rsidRPr="00B47BB1" w:rsidRDefault="00B47BB1" w:rsidP="00B47BB1">
      <w:pPr>
        <w:widowControl w:val="0"/>
        <w:tabs>
          <w:tab w:val="left" w:pos="360"/>
        </w:tabs>
        <w:overflowPunct w:val="0"/>
        <w:adjustRightInd w:val="0"/>
        <w:spacing w:line="260" w:lineRule="atLeast"/>
        <w:ind w:firstLine="360"/>
        <w:jc w:val="both"/>
        <w:textAlignment w:val="baseline"/>
        <w:rPr>
          <w:sz w:val="20"/>
          <w:szCs w:val="20"/>
        </w:rPr>
      </w:pPr>
      <w:r w:rsidRPr="00B47BB1">
        <w:rPr>
          <w:noProof/>
          <w:sz w:val="20"/>
          <w:szCs w:val="20"/>
        </w:rPr>
        <w:t>(b) This state’s constitutional, judicial branch, and legislative branch entities, and instrumentalities thereof;</w:t>
      </w:r>
    </w:p>
    <w:p w14:paraId="61CA7F80" w14:textId="77777777" w:rsidR="00B47BB1" w:rsidRPr="00B47BB1" w:rsidRDefault="00B47BB1" w:rsidP="00B47BB1">
      <w:pPr>
        <w:widowControl w:val="0"/>
        <w:tabs>
          <w:tab w:val="left" w:pos="360"/>
        </w:tabs>
        <w:overflowPunct w:val="0"/>
        <w:adjustRightInd w:val="0"/>
        <w:spacing w:line="260" w:lineRule="atLeast"/>
        <w:ind w:firstLine="360"/>
        <w:jc w:val="both"/>
        <w:textAlignment w:val="baseline"/>
        <w:rPr>
          <w:sz w:val="20"/>
          <w:szCs w:val="20"/>
        </w:rPr>
      </w:pPr>
      <w:r w:rsidRPr="00B47BB1">
        <w:rPr>
          <w:noProof/>
          <w:sz w:val="20"/>
          <w:szCs w:val="20"/>
        </w:rPr>
        <w:t>(c) Instrumentalities of this state’s executive branch agencies;</w:t>
      </w:r>
    </w:p>
    <w:p w14:paraId="308A4232" w14:textId="77777777" w:rsidR="00B47BB1" w:rsidRPr="00B47BB1" w:rsidRDefault="00B47BB1" w:rsidP="00B47BB1">
      <w:pPr>
        <w:widowControl w:val="0"/>
        <w:tabs>
          <w:tab w:val="left" w:pos="360"/>
        </w:tabs>
        <w:overflowPunct w:val="0"/>
        <w:adjustRightInd w:val="0"/>
        <w:spacing w:line="260" w:lineRule="atLeast"/>
        <w:ind w:firstLine="360"/>
        <w:jc w:val="both"/>
        <w:textAlignment w:val="baseline"/>
        <w:rPr>
          <w:sz w:val="20"/>
          <w:szCs w:val="20"/>
        </w:rPr>
      </w:pPr>
      <w:r w:rsidRPr="00B47BB1">
        <w:rPr>
          <w:sz w:val="20"/>
          <w:szCs w:val="20"/>
        </w:rPr>
        <w:t>(d) State universities and colleges, their boards of trustees, and the board of governors, as described by Sections 1000.21, 1001.60 and 1001.71, F.S., and instrumentalities thereof.</w:t>
      </w:r>
    </w:p>
    <w:p w14:paraId="431A32D5" w14:textId="77777777" w:rsidR="00B47BB1" w:rsidRPr="00B47BB1" w:rsidRDefault="00B47BB1" w:rsidP="00B47BB1">
      <w:pPr>
        <w:widowControl w:val="0"/>
        <w:tabs>
          <w:tab w:val="left" w:pos="360"/>
        </w:tabs>
        <w:overflowPunct w:val="0"/>
        <w:adjustRightInd w:val="0"/>
        <w:spacing w:line="260" w:lineRule="atLeast"/>
        <w:ind w:firstLine="360"/>
        <w:jc w:val="both"/>
        <w:textAlignment w:val="baseline"/>
        <w:rPr>
          <w:sz w:val="20"/>
          <w:szCs w:val="20"/>
        </w:rPr>
      </w:pPr>
      <w:r w:rsidRPr="00B47BB1">
        <w:rPr>
          <w:noProof/>
          <w:sz w:val="20"/>
          <w:szCs w:val="20"/>
        </w:rPr>
        <w:t xml:space="preserve">(e) Political subdivisions, including counties, cities, towns, villages and districts, as described by </w:t>
      </w:r>
      <w:r w:rsidRPr="00B47BB1">
        <w:rPr>
          <w:sz w:val="20"/>
          <w:szCs w:val="20"/>
        </w:rPr>
        <w:t>Section</w:t>
      </w:r>
      <w:r w:rsidRPr="00B47BB1">
        <w:rPr>
          <w:noProof/>
          <w:sz w:val="20"/>
          <w:szCs w:val="20"/>
        </w:rPr>
        <w:t xml:space="preserve"> 1.01(8), F.S., and instrumentalities thereof;</w:t>
      </w:r>
    </w:p>
    <w:p w14:paraId="5F1CF7D5" w14:textId="77777777" w:rsidR="00B47BB1" w:rsidRPr="00B47BB1" w:rsidRDefault="00B47BB1" w:rsidP="00B47BB1">
      <w:pPr>
        <w:widowControl w:val="0"/>
        <w:tabs>
          <w:tab w:val="left" w:pos="360"/>
        </w:tabs>
        <w:overflowPunct w:val="0"/>
        <w:adjustRightInd w:val="0"/>
        <w:spacing w:line="260" w:lineRule="atLeast"/>
        <w:ind w:firstLine="360"/>
        <w:jc w:val="both"/>
        <w:textAlignment w:val="baseline"/>
        <w:rPr>
          <w:sz w:val="20"/>
          <w:szCs w:val="20"/>
        </w:rPr>
      </w:pPr>
      <w:r w:rsidRPr="00B47BB1">
        <w:rPr>
          <w:noProof/>
          <w:sz w:val="20"/>
          <w:szCs w:val="20"/>
        </w:rPr>
        <w:t xml:space="preserve">(f) School districts, as described by </w:t>
      </w:r>
      <w:r w:rsidRPr="00B47BB1">
        <w:rPr>
          <w:sz w:val="20"/>
          <w:szCs w:val="20"/>
        </w:rPr>
        <w:t>Section</w:t>
      </w:r>
      <w:r w:rsidRPr="00B47BB1">
        <w:rPr>
          <w:noProof/>
          <w:sz w:val="20"/>
          <w:szCs w:val="20"/>
        </w:rPr>
        <w:t xml:space="preserve"> 1001.30, F.S., and instrumentalities thereof;</w:t>
      </w:r>
    </w:p>
    <w:p w14:paraId="755C9A24" w14:textId="77777777" w:rsidR="00B47BB1" w:rsidRPr="00B47BB1" w:rsidRDefault="00B47BB1" w:rsidP="00B47BB1">
      <w:pPr>
        <w:widowControl w:val="0"/>
        <w:tabs>
          <w:tab w:val="left" w:pos="360"/>
        </w:tabs>
        <w:overflowPunct w:val="0"/>
        <w:adjustRightInd w:val="0"/>
        <w:spacing w:line="260" w:lineRule="atLeast"/>
        <w:ind w:firstLine="360"/>
        <w:jc w:val="both"/>
        <w:textAlignment w:val="baseline"/>
        <w:rPr>
          <w:sz w:val="20"/>
          <w:szCs w:val="20"/>
        </w:rPr>
      </w:pPr>
      <w:r w:rsidRPr="00B47BB1">
        <w:rPr>
          <w:noProof/>
          <w:sz w:val="20"/>
          <w:szCs w:val="20"/>
        </w:rPr>
        <w:t>(g) Independent, nonprofit colleges or universities located within the State of Florida and accredited by the Southern Association of Colleges and Schools;</w:t>
      </w:r>
    </w:p>
    <w:p w14:paraId="7C924944" w14:textId="77777777" w:rsidR="00B47BB1" w:rsidRPr="00B47BB1" w:rsidRDefault="00B47BB1" w:rsidP="00B47BB1">
      <w:pPr>
        <w:widowControl w:val="0"/>
        <w:tabs>
          <w:tab w:val="left" w:pos="360"/>
        </w:tabs>
        <w:overflowPunct w:val="0"/>
        <w:adjustRightInd w:val="0"/>
        <w:spacing w:line="260" w:lineRule="atLeast"/>
        <w:ind w:firstLine="360"/>
        <w:jc w:val="both"/>
        <w:textAlignment w:val="baseline"/>
        <w:rPr>
          <w:noProof/>
          <w:sz w:val="20"/>
          <w:szCs w:val="20"/>
        </w:rPr>
      </w:pPr>
      <w:r w:rsidRPr="00B47BB1">
        <w:rPr>
          <w:noProof/>
          <w:sz w:val="20"/>
          <w:szCs w:val="20"/>
        </w:rPr>
        <w:t xml:space="preserve">(h) For purposes of insurance contracts procured pursuant to </w:t>
      </w:r>
      <w:r w:rsidRPr="00B47BB1">
        <w:rPr>
          <w:sz w:val="20"/>
          <w:szCs w:val="20"/>
        </w:rPr>
        <w:t>section</w:t>
      </w:r>
      <w:r w:rsidRPr="00B47BB1">
        <w:rPr>
          <w:noProof/>
          <w:sz w:val="20"/>
          <w:szCs w:val="20"/>
        </w:rPr>
        <w:t xml:space="preserve"> 287.022, F.S., only non-Agency state entities with a Department of Financial Services State Risk Management Trust Fund Certificate are eligible users.</w:t>
      </w:r>
    </w:p>
    <w:p w14:paraId="1311AF04" w14:textId="77777777" w:rsidR="00B47BB1" w:rsidRPr="00B47BB1" w:rsidRDefault="00B47BB1" w:rsidP="00B47BB1">
      <w:pPr>
        <w:widowControl w:val="0"/>
        <w:tabs>
          <w:tab w:val="left" w:pos="360"/>
        </w:tabs>
        <w:overflowPunct w:val="0"/>
        <w:adjustRightInd w:val="0"/>
        <w:spacing w:line="260" w:lineRule="atLeast"/>
        <w:ind w:firstLine="360"/>
        <w:jc w:val="both"/>
        <w:textAlignment w:val="baseline"/>
        <w:rPr>
          <w:sz w:val="20"/>
          <w:szCs w:val="20"/>
        </w:rPr>
      </w:pPr>
      <w:r w:rsidRPr="00B47BB1">
        <w:rPr>
          <w:sz w:val="20"/>
          <w:szCs w:val="20"/>
        </w:rPr>
        <w:t>(5) “Enterprise Alternate Contract Source” means a contract authorized pursuant to section 287.042(16), F.S., or approved pursuant to section 287.057(3)(b), F.S., for statewide use.</w:t>
      </w:r>
    </w:p>
    <w:p w14:paraId="2873E2EE" w14:textId="77777777" w:rsidR="00B47BB1" w:rsidRPr="00B47BB1" w:rsidRDefault="00B47BB1" w:rsidP="00B47BB1">
      <w:pPr>
        <w:widowControl w:val="0"/>
        <w:tabs>
          <w:tab w:val="left" w:pos="360"/>
        </w:tabs>
        <w:overflowPunct w:val="0"/>
        <w:adjustRightInd w:val="0"/>
        <w:spacing w:line="260" w:lineRule="atLeast"/>
        <w:ind w:firstLine="360"/>
        <w:jc w:val="both"/>
        <w:textAlignment w:val="baseline"/>
        <w:rPr>
          <w:sz w:val="20"/>
          <w:szCs w:val="20"/>
        </w:rPr>
      </w:pPr>
      <w:r w:rsidRPr="00B47BB1">
        <w:rPr>
          <w:sz w:val="20"/>
          <w:szCs w:val="20"/>
        </w:rPr>
        <w:t>(6) “Enterprise Wide Agreement” means a State Term Contract or an Enterprise Alternate Contract Source.</w:t>
      </w:r>
    </w:p>
    <w:p w14:paraId="00D579F7" w14:textId="77777777" w:rsidR="00B47BB1" w:rsidRPr="00B47BB1" w:rsidRDefault="00B47BB1" w:rsidP="00B47BB1">
      <w:pPr>
        <w:widowControl w:val="0"/>
        <w:tabs>
          <w:tab w:val="left" w:pos="360"/>
        </w:tabs>
        <w:overflowPunct w:val="0"/>
        <w:adjustRightInd w:val="0"/>
        <w:spacing w:line="260" w:lineRule="atLeast"/>
        <w:ind w:firstLine="360"/>
        <w:jc w:val="both"/>
        <w:textAlignment w:val="baseline"/>
        <w:rPr>
          <w:sz w:val="20"/>
          <w:szCs w:val="20"/>
        </w:rPr>
      </w:pPr>
      <w:r w:rsidRPr="00B47BB1">
        <w:rPr>
          <w:noProof/>
          <w:sz w:val="20"/>
          <w:szCs w:val="20"/>
        </w:rPr>
        <w:t>(7) “Purchase Order” means a mutually binding and enforceable legal relationship obligating a Contractor to furnish Commodities or Contractual Services to a Customer, which is evidenced by an order electronically transmitted from the Customer to the Contractor.</w:t>
      </w:r>
    </w:p>
    <w:p w14:paraId="18B4A05F" w14:textId="77777777" w:rsidR="00B47BB1" w:rsidRPr="00B47BB1" w:rsidRDefault="00B47BB1" w:rsidP="00B47BB1">
      <w:pPr>
        <w:widowControl w:val="0"/>
        <w:overflowPunct w:val="0"/>
        <w:adjustRightInd w:val="0"/>
        <w:spacing w:line="260" w:lineRule="atLeast"/>
        <w:ind w:firstLine="360"/>
        <w:jc w:val="both"/>
        <w:textAlignment w:val="baseline"/>
        <w:rPr>
          <w:noProof/>
          <w:sz w:val="20"/>
          <w:szCs w:val="20"/>
        </w:rPr>
      </w:pPr>
      <w:r w:rsidRPr="00B47BB1">
        <w:rPr>
          <w:noProof/>
          <w:sz w:val="20"/>
          <w:szCs w:val="20"/>
        </w:rPr>
        <w:t>(8) “Request for Quote” has the same definition as provided in section 287.012(24), F.S. Additionally, “Request for Quote” may refer to a quote obtained from an Enterprise Alternate Contract Source.</w:t>
      </w:r>
    </w:p>
    <w:p w14:paraId="6479135C" w14:textId="77777777" w:rsidR="00B47BB1" w:rsidRPr="00B47BB1" w:rsidRDefault="00B47BB1" w:rsidP="00B47BB1">
      <w:pPr>
        <w:widowControl w:val="0"/>
        <w:overflowPunct w:val="0"/>
        <w:adjustRightInd w:val="0"/>
        <w:spacing w:line="260" w:lineRule="atLeast"/>
        <w:ind w:firstLine="360"/>
        <w:jc w:val="both"/>
        <w:textAlignment w:val="baseline"/>
        <w:rPr>
          <w:noProof/>
          <w:sz w:val="20"/>
          <w:szCs w:val="20"/>
        </w:rPr>
      </w:pPr>
      <w:r w:rsidRPr="00B47BB1">
        <w:rPr>
          <w:noProof/>
          <w:sz w:val="20"/>
          <w:szCs w:val="20"/>
        </w:rPr>
        <w:t>(9) “Vendor” means a person or entity that may provide or is providing Commodities or Contractual Services under a Contract.</w:t>
      </w:r>
    </w:p>
    <w:p w14:paraId="13E89444" w14:textId="77777777" w:rsidR="00B47BB1" w:rsidRPr="00B47BB1" w:rsidRDefault="00B47BB1" w:rsidP="00B47BB1">
      <w:pPr>
        <w:widowControl w:val="0"/>
        <w:overflowPunct w:val="0"/>
        <w:adjustRightInd w:val="0"/>
        <w:spacing w:line="260" w:lineRule="atLeast"/>
        <w:ind w:firstLine="360"/>
        <w:jc w:val="both"/>
        <w:textAlignment w:val="baseline"/>
        <w:rPr>
          <w:sz w:val="20"/>
          <w:szCs w:val="20"/>
        </w:rPr>
      </w:pPr>
      <w:r w:rsidRPr="00B47BB1">
        <w:rPr>
          <w:sz w:val="20"/>
          <w:szCs w:val="20"/>
        </w:rPr>
        <w:t>(10) “Written Agreement” means a mutually binding and enforceable legal relationship obligating a Contractor to furnish Commodities or Contractual Services to a Customer, which is evidenced by a document executed by both the Customer and the Contractor.</w:t>
      </w:r>
    </w:p>
    <w:p w14:paraId="5C8CBCC8" w14:textId="77777777" w:rsidR="00B47BB1" w:rsidRPr="00B47BB1" w:rsidRDefault="00B47BB1" w:rsidP="00B47BB1">
      <w:pPr>
        <w:widowControl w:val="0"/>
        <w:overflowPunct w:val="0"/>
        <w:autoSpaceDE w:val="0"/>
        <w:autoSpaceDN w:val="0"/>
        <w:adjustRightInd w:val="0"/>
        <w:spacing w:before="120" w:after="240" w:line="260" w:lineRule="atLeast"/>
        <w:jc w:val="both"/>
        <w:textAlignment w:val="baseline"/>
        <w:rPr>
          <w:i/>
          <w:noProof/>
          <w:color w:val="000000"/>
          <w:sz w:val="18"/>
          <w:szCs w:val="20"/>
        </w:rPr>
      </w:pPr>
      <w:r w:rsidRPr="00B47BB1">
        <w:rPr>
          <w:i/>
          <w:noProof/>
          <w:color w:val="000000"/>
          <w:sz w:val="18"/>
          <w:szCs w:val="20"/>
        </w:rPr>
        <w:t>Rulemaking Authority 287.012(11), 287.032(2), 287.042(12) FS. Law Implemented 287.012(11), 287.042, 287.057, 287.058 FS. History–New 5-20-64, Amended 2-6-68, 5-20-71, 5-19-72, 7-31-75, 10-1-78, 11-14-79, 8-6-81, 10-11-81, 4-29-82, 8-26-82, 11-4-82, 10-13-83, 3-1-84, 11-12-84, 2-28-85, 12-17-85, Formerly 13A-1.01, Amended 2-9-87, 11-3-88, 1-18-90, 4-10-91, 9-1-92, Formerly 13A-1.001, Amended 8-24-93, 4-24-94, 1-9-95, 1-1-96, 9-23-96, 7-6-98, 1-2-00, 8-22-04, 1-29-17, 7-22-24.</w:t>
      </w:r>
    </w:p>
    <w:p w14:paraId="1E333AD2" w14:textId="77777777" w:rsidR="00B47BB1" w:rsidRPr="00B47BB1" w:rsidRDefault="00B47BB1" w:rsidP="00B47BB1"/>
    <w:sectPr w:rsidR="00B47BB1" w:rsidRPr="00B47BB1" w:rsidSect="00B47BB1">
      <w:pgSz w:w="12240" w:h="15840"/>
      <w:pgMar w:top="1440" w:right="794" w:bottom="1440" w:left="79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BB1"/>
    <w:rsid w:val="002B1A62"/>
    <w:rsid w:val="00B47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334EDD"/>
  <w15:chartTrackingRefBased/>
  <w15:docId w15:val="{08420045-2AE2-468D-9F70-2277D6E0B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511</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60A-1</vt:lpstr>
    </vt:vector>
  </TitlesOfParts>
  <Company/>
  <LinksUpToDate>false</LinksUpToDate>
  <CharactersWithSpaces>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60A-1</dc:title>
  <dc:subject/>
  <dc:creator>FLRules_Word</dc:creator>
  <cp:keywords/>
  <dc:description/>
  <cp:lastModifiedBy>Curran, Kimberley</cp:lastModifiedBy>
  <cp:revision>2</cp:revision>
  <dcterms:created xsi:type="dcterms:W3CDTF">2026-02-03T17:53:00Z</dcterms:created>
  <dcterms:modified xsi:type="dcterms:W3CDTF">2026-02-03T17:53:00Z</dcterms:modified>
</cp:coreProperties>
</file>