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7E6" w:rsidRPr="0058497D" w:rsidRDefault="00DF67E6" w:rsidP="00DF67E6">
      <w:pPr>
        <w:rPr>
          <w:rFonts w:ascii="Times New Roman" w:hAnsi="Times New Roman"/>
          <w:sz w:val="48"/>
          <w:szCs w:val="48"/>
        </w:rPr>
      </w:pPr>
    </w:p>
    <w:p w:rsidR="00DF67E6" w:rsidRPr="0058497D" w:rsidRDefault="00DF67E6" w:rsidP="00DF67E6">
      <w:pPr>
        <w:rPr>
          <w:rFonts w:ascii="Times New Roman" w:hAnsi="Times New Roman"/>
          <w:sz w:val="48"/>
          <w:szCs w:val="48"/>
        </w:rPr>
      </w:pPr>
    </w:p>
    <w:p w:rsidR="00DF67E6" w:rsidRPr="0058497D" w:rsidRDefault="00DF67E6" w:rsidP="00DF67E6">
      <w:pPr>
        <w:rPr>
          <w:rFonts w:ascii="Times New Roman" w:hAnsi="Times New Roman"/>
          <w:sz w:val="48"/>
          <w:szCs w:val="48"/>
        </w:rPr>
      </w:pPr>
    </w:p>
    <w:p w:rsidR="00DF67E6" w:rsidRPr="0058497D" w:rsidRDefault="00DF67E6" w:rsidP="00DF67E6">
      <w:pPr>
        <w:rPr>
          <w:rFonts w:ascii="Times New Roman" w:hAnsi="Times New Roman"/>
          <w:sz w:val="48"/>
          <w:szCs w:val="48"/>
        </w:rPr>
      </w:pPr>
    </w:p>
    <w:p w:rsidR="00DF67E6" w:rsidRPr="0058497D" w:rsidRDefault="00DF67E6" w:rsidP="00DF67E6">
      <w:pPr>
        <w:rPr>
          <w:rFonts w:ascii="Times New Roman" w:hAnsi="Times New Roman"/>
          <w:sz w:val="48"/>
          <w:szCs w:val="48"/>
        </w:rPr>
      </w:pPr>
    </w:p>
    <w:p w:rsidR="00DF67E6" w:rsidRPr="0058497D" w:rsidRDefault="00DF67E6" w:rsidP="00DF67E6">
      <w:pPr>
        <w:rPr>
          <w:rFonts w:ascii="Times New Roman" w:hAnsi="Times New Roman"/>
          <w:sz w:val="48"/>
          <w:szCs w:val="48"/>
        </w:rPr>
      </w:pPr>
    </w:p>
    <w:p w:rsidR="00DF67E6" w:rsidRPr="0058497D" w:rsidRDefault="00DF67E6" w:rsidP="00DF67E6">
      <w:pPr>
        <w:jc w:val="center"/>
        <w:rPr>
          <w:rFonts w:ascii="Times New Roman" w:hAnsi="Times New Roman"/>
          <w:b/>
          <w:sz w:val="48"/>
          <w:szCs w:val="48"/>
        </w:rPr>
      </w:pPr>
      <w:r w:rsidRPr="0058497D">
        <w:rPr>
          <w:rFonts w:ascii="Times New Roman" w:hAnsi="Times New Roman"/>
          <w:b/>
          <w:sz w:val="48"/>
          <w:szCs w:val="48"/>
        </w:rPr>
        <w:t>Appendix I</w:t>
      </w:r>
    </w:p>
    <w:p w:rsidR="00DF67E6" w:rsidRPr="0058497D" w:rsidRDefault="00DF67E6" w:rsidP="00DF67E6">
      <w:pPr>
        <w:rPr>
          <w:rFonts w:ascii="Times New Roman" w:hAnsi="Times New Roman"/>
          <w:b/>
          <w:szCs w:val="24"/>
        </w:rPr>
        <w:sectPr w:rsidR="00DF67E6" w:rsidRPr="0058497D" w:rsidSect="00FA79FE">
          <w:footerReference w:type="default" r:id="rId6"/>
          <w:pgSz w:w="12240" w:h="15840"/>
          <w:pgMar w:top="1440" w:right="1440" w:bottom="1440" w:left="1440" w:header="720" w:footer="720" w:gutter="0"/>
          <w:pgNumType w:start="1"/>
          <w:cols w:space="720"/>
          <w:docGrid w:linePitch="360"/>
        </w:sectPr>
      </w:pPr>
    </w:p>
    <w:p w:rsidR="00DF67E6" w:rsidRPr="0058497D" w:rsidRDefault="00DF67E6" w:rsidP="00DF67E6">
      <w:pPr>
        <w:rPr>
          <w:rFonts w:ascii="Times New Roman" w:hAnsi="Times New Roman"/>
          <w:b/>
          <w:szCs w:val="24"/>
        </w:rPr>
      </w:pPr>
    </w:p>
    <w:p w:rsidR="00DF67E6" w:rsidRPr="0058497D" w:rsidRDefault="00DF67E6" w:rsidP="00DF67E6">
      <w:pPr>
        <w:jc w:val="center"/>
        <w:rPr>
          <w:rFonts w:ascii="Times New Roman" w:hAnsi="Times New Roman"/>
          <w:b/>
          <w:szCs w:val="24"/>
        </w:rPr>
      </w:pPr>
    </w:p>
    <w:p w:rsidR="00DF67E6" w:rsidRPr="00D34DDD" w:rsidRDefault="00DF67E6" w:rsidP="00DF67E6">
      <w:pPr>
        <w:jc w:val="center"/>
        <w:rPr>
          <w:rFonts w:ascii="Times New Roman" w:hAnsi="Times New Roman"/>
          <w:i/>
          <w:sz w:val="28"/>
          <w:szCs w:val="28"/>
        </w:rPr>
      </w:pPr>
      <w:r w:rsidRPr="0058497D">
        <w:rPr>
          <w:rFonts w:ascii="Times New Roman" w:hAnsi="Times New Roman"/>
          <w:b/>
          <w:sz w:val="28"/>
          <w:szCs w:val="28"/>
          <w:u w:val="single"/>
        </w:rPr>
        <w:t>Appendix I</w:t>
      </w:r>
      <w:r w:rsidRPr="0058497D">
        <w:rPr>
          <w:rFonts w:ascii="Times New Roman" w:hAnsi="Times New Roman"/>
          <w:sz w:val="28"/>
          <w:szCs w:val="28"/>
        </w:rPr>
        <w:t xml:space="preserve"> </w:t>
      </w:r>
      <w:r>
        <w:rPr>
          <w:rFonts w:ascii="Times New Roman" w:hAnsi="Times New Roman"/>
          <w:sz w:val="28"/>
          <w:szCs w:val="28"/>
        </w:rPr>
        <w:t xml:space="preserve"> </w:t>
      </w:r>
      <w:r w:rsidR="00653F1B">
        <w:rPr>
          <w:rFonts w:ascii="Times New Roman" w:hAnsi="Times New Roman"/>
          <w:i/>
          <w:sz w:val="28"/>
          <w:szCs w:val="28"/>
        </w:rPr>
        <w:t>Revised 11/3</w:t>
      </w:r>
      <w:r>
        <w:rPr>
          <w:rFonts w:ascii="Times New Roman" w:hAnsi="Times New Roman"/>
          <w:i/>
          <w:sz w:val="28"/>
          <w:szCs w:val="28"/>
        </w:rPr>
        <w:t>/15</w:t>
      </w:r>
    </w:p>
    <w:p w:rsidR="00DF67E6" w:rsidRPr="0058497D" w:rsidRDefault="00DF67E6" w:rsidP="00DF67E6">
      <w:pPr>
        <w:jc w:val="center"/>
        <w:rPr>
          <w:rFonts w:ascii="Times New Roman" w:hAnsi="Times New Roman"/>
          <w:szCs w:val="24"/>
        </w:rPr>
      </w:pPr>
    </w:p>
    <w:p w:rsidR="00DF67E6" w:rsidRPr="0058497D" w:rsidRDefault="00DF67E6" w:rsidP="00DF67E6">
      <w:pPr>
        <w:jc w:val="center"/>
        <w:rPr>
          <w:rFonts w:ascii="Times New Roman" w:hAnsi="Times New Roman"/>
          <w:b/>
          <w:szCs w:val="24"/>
        </w:rPr>
      </w:pPr>
      <w:r w:rsidRPr="0058497D">
        <w:rPr>
          <w:rFonts w:ascii="Times New Roman" w:hAnsi="Times New Roman"/>
          <w:b/>
          <w:szCs w:val="24"/>
        </w:rPr>
        <w:t>Limiting Conditions for Rule 40C-2.042(9) Dewatering General Permit by Rule</w:t>
      </w:r>
    </w:p>
    <w:p w:rsidR="00DF67E6" w:rsidRPr="0058497D" w:rsidRDefault="00DF67E6" w:rsidP="00DF67E6">
      <w:pPr>
        <w:rPr>
          <w:rFonts w:ascii="Times New Roman" w:hAnsi="Times New Roman"/>
          <w:szCs w:val="24"/>
        </w:rPr>
      </w:pPr>
    </w:p>
    <w:p w:rsidR="00DF67E6" w:rsidRPr="0058497D" w:rsidRDefault="00DF67E6" w:rsidP="00DF67E6">
      <w:pPr>
        <w:overflowPunct w:val="0"/>
        <w:autoSpaceDE w:val="0"/>
        <w:autoSpaceDN w:val="0"/>
        <w:textAlignment w:val="baseline"/>
        <w:rPr>
          <w:rFonts w:ascii="Times New Roman" w:hAnsi="Times New Roman"/>
          <w:color w:val="000000"/>
          <w:szCs w:val="24"/>
        </w:rPr>
      </w:pPr>
      <w:r w:rsidRPr="0058497D">
        <w:rPr>
          <w:rFonts w:ascii="Times New Roman" w:hAnsi="Times New Roman"/>
          <w:color w:val="000000"/>
          <w:szCs w:val="24"/>
        </w:rPr>
        <w:t xml:space="preserve">The general permit by rule for short-term construction dewatering under </w:t>
      </w:r>
      <w:r w:rsidRPr="0058497D">
        <w:rPr>
          <w:rFonts w:ascii="Times New Roman" w:hAnsi="Times New Roman"/>
          <w:szCs w:val="24"/>
        </w:rPr>
        <w:t xml:space="preserve">Rule 40C-2.042(9), F.A.C., </w:t>
      </w:r>
      <w:r w:rsidRPr="0058497D">
        <w:rPr>
          <w:rFonts w:ascii="Times New Roman" w:hAnsi="Times New Roman"/>
          <w:color w:val="000000"/>
          <w:szCs w:val="24"/>
        </w:rPr>
        <w:t>shall be subject to the following limiting conditions:</w:t>
      </w:r>
    </w:p>
    <w:p w:rsidR="00DF67E6" w:rsidRPr="0058497D" w:rsidRDefault="00DF67E6" w:rsidP="00DF67E6">
      <w:pPr>
        <w:overflowPunct w:val="0"/>
        <w:autoSpaceDE w:val="0"/>
        <w:autoSpaceDN w:val="0"/>
        <w:textAlignment w:val="baseline"/>
        <w:rPr>
          <w:rFonts w:ascii="Times New Roman" w:hAnsi="Times New Roman"/>
          <w:color w:val="000000"/>
          <w:szCs w:val="24"/>
        </w:rPr>
      </w:pPr>
    </w:p>
    <w:p w:rsidR="00DF67E6" w:rsidRPr="0058497D" w:rsidRDefault="00DF67E6" w:rsidP="00DF67E6">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 xml:space="preserve">1. This permit shall expire 190 days from the date a complete form 40C-2.900(12) is submitted to the District.  No dewatering may begin until 10 days after submittal of the complete form 40C-2.900(12).  However, submittal of form 40C-2.900(12) 10 days before dewatering is not required when the dewatering is in response to an </w:t>
      </w:r>
      <w:proofErr w:type="gramStart"/>
      <w:r w:rsidRPr="0058497D">
        <w:rPr>
          <w:rFonts w:ascii="Times New Roman" w:hAnsi="Times New Roman"/>
          <w:color w:val="000000"/>
          <w:szCs w:val="24"/>
        </w:rPr>
        <w:t>emergency situation</w:t>
      </w:r>
      <w:proofErr w:type="gramEnd"/>
      <w:r w:rsidRPr="0058497D">
        <w:rPr>
          <w:rFonts w:ascii="Times New Roman" w:hAnsi="Times New Roman"/>
          <w:color w:val="000000"/>
          <w:szCs w:val="24"/>
        </w:rPr>
        <w:t xml:space="preserve"> involving a threat to public safety.  In such an </w:t>
      </w:r>
      <w:proofErr w:type="gramStart"/>
      <w:r w:rsidRPr="0058497D">
        <w:rPr>
          <w:rFonts w:ascii="Times New Roman" w:hAnsi="Times New Roman"/>
          <w:color w:val="000000"/>
          <w:szCs w:val="24"/>
        </w:rPr>
        <w:t>emergency situation</w:t>
      </w:r>
      <w:proofErr w:type="gramEnd"/>
      <w:r w:rsidRPr="0058497D">
        <w:rPr>
          <w:rFonts w:ascii="Times New Roman" w:hAnsi="Times New Roman"/>
          <w:color w:val="000000"/>
          <w:szCs w:val="24"/>
        </w:rPr>
        <w:t>, notification on form 40C-2.900(12) shall be provided the next business day.</w:t>
      </w:r>
      <w:r>
        <w:rPr>
          <w:rFonts w:ascii="Times New Roman" w:hAnsi="Times New Roman"/>
          <w:color w:val="000000"/>
          <w:szCs w:val="24"/>
        </w:rPr>
        <w:t xml:space="preserve">  </w:t>
      </w:r>
      <w:proofErr w:type="gramStart"/>
      <w:r>
        <w:rPr>
          <w:rFonts w:ascii="Times New Roman" w:hAnsi="Times New Roman"/>
          <w:color w:val="000000"/>
          <w:szCs w:val="24"/>
        </w:rPr>
        <w:t>Additionally, when the construction dewatering is authorized by the issuance of a permit or certification under Chapter 403, F.S., or a permit under Part IV of Chapter 373, F.S., and the dewatering withdrawals will not exceed any of the limitations in form 40C-2.900(12), then the user does not have to submit that form, condition 2 below will not apply, and this permit will instead expire 180 days from the date dewatering begins.</w:t>
      </w:r>
      <w:proofErr w:type="gramEnd"/>
    </w:p>
    <w:p w:rsidR="00DF67E6" w:rsidRPr="0058497D" w:rsidRDefault="00DF67E6" w:rsidP="00DF67E6">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 xml:space="preserve">2. The permittee shall take turbidity readings once per week at all points of direct discharge into rivers, streams, or natural lakes. A direct discharge means a </w:t>
      </w:r>
      <w:proofErr w:type="gramStart"/>
      <w:r w:rsidRPr="0058497D">
        <w:rPr>
          <w:rFonts w:ascii="Times New Roman" w:hAnsi="Times New Roman"/>
          <w:color w:val="000000"/>
          <w:szCs w:val="24"/>
        </w:rPr>
        <w:t>discharge which</w:t>
      </w:r>
      <w:proofErr w:type="gramEnd"/>
      <w:r w:rsidRPr="0058497D">
        <w:rPr>
          <w:rFonts w:ascii="Times New Roman" w:hAnsi="Times New Roman"/>
          <w:color w:val="000000"/>
          <w:szCs w:val="24"/>
        </w:rPr>
        <w:t xml:space="preserve"> enters a river, stream or natural lake without an adequate opportunity for prior mixing and dilution to prevent significant degradation. </w:t>
      </w:r>
      <w:r>
        <w:rPr>
          <w:rFonts w:ascii="Times New Roman" w:hAnsi="Times New Roman"/>
          <w:color w:val="000000"/>
          <w:szCs w:val="24"/>
        </w:rPr>
        <w:t xml:space="preserve"> S</w:t>
      </w:r>
      <w:r w:rsidRPr="0058497D">
        <w:rPr>
          <w:rFonts w:ascii="Times New Roman" w:hAnsi="Times New Roman"/>
          <w:color w:val="000000"/>
          <w:szCs w:val="24"/>
        </w:rPr>
        <w:t xml:space="preserve">amples </w:t>
      </w:r>
      <w:r>
        <w:rPr>
          <w:rFonts w:ascii="Times New Roman" w:hAnsi="Times New Roman"/>
          <w:color w:val="000000"/>
          <w:szCs w:val="24"/>
        </w:rPr>
        <w:t xml:space="preserve">must be </w:t>
      </w:r>
      <w:r w:rsidRPr="0058497D">
        <w:rPr>
          <w:rFonts w:ascii="Times New Roman" w:hAnsi="Times New Roman"/>
          <w:color w:val="000000"/>
          <w:szCs w:val="24"/>
        </w:rPr>
        <w:t>collected from the backside of the appropriate turbidity barrier, and the results shall be submitted monthly to the nearest St. Johns River Water Management District office. The results must contain the following information that must be submitted at project completion:</w:t>
      </w:r>
    </w:p>
    <w:p w:rsidR="00DF67E6" w:rsidRPr="0058497D" w:rsidRDefault="00DF67E6" w:rsidP="00DF67E6">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a. Name of person sampling.</w:t>
      </w:r>
    </w:p>
    <w:p w:rsidR="00DF67E6" w:rsidRPr="0058497D" w:rsidRDefault="00DF67E6" w:rsidP="00DF67E6">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b. Date and time sample was taken.</w:t>
      </w:r>
    </w:p>
    <w:p w:rsidR="00DF67E6" w:rsidRPr="0058497D" w:rsidRDefault="00DF67E6" w:rsidP="00DF67E6">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c. Location of sample point.</w:t>
      </w:r>
    </w:p>
    <w:p w:rsidR="00DF67E6" w:rsidRPr="0058497D" w:rsidRDefault="00DF67E6" w:rsidP="00DF67E6">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d. Time at which turbidity was measured.</w:t>
      </w:r>
    </w:p>
    <w:p w:rsidR="00DF67E6" w:rsidRPr="0058497D" w:rsidRDefault="00DF67E6" w:rsidP="00DF67E6">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e. Turbidity reading in NTU’s.</w:t>
      </w:r>
    </w:p>
    <w:p w:rsidR="00DF67E6" w:rsidRPr="0058497D" w:rsidRDefault="00DF67E6" w:rsidP="00DF67E6">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f. The permit tracking number.</w:t>
      </w:r>
    </w:p>
    <w:p w:rsidR="00DF67E6" w:rsidRPr="0058497D" w:rsidRDefault="00DF67E6" w:rsidP="00DF67E6">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3. Dewatering discharge must not cause or contribute to flooding of off-site properties.</w:t>
      </w:r>
    </w:p>
    <w:p w:rsidR="00DF67E6" w:rsidRPr="0058497D" w:rsidRDefault="00DF67E6" w:rsidP="00DF67E6">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4. The permittee shall implement the following turbidity control measures, as appropriate, for any discharges off-site:</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proofErr w:type="gramStart"/>
      <w:r w:rsidRPr="0058497D">
        <w:rPr>
          <w:rFonts w:ascii="Times New Roman" w:hAnsi="Times New Roman"/>
          <w:color w:val="000000"/>
          <w:szCs w:val="24"/>
        </w:rPr>
        <w:t>a. If the discharge is to be to a drainage system either pipe water directly into the drainage structure; or if the discharge will be through a swale, or overland, to a structure or water body, then the path of discharge shall be lined with plastic</w:t>
      </w:r>
      <w:r>
        <w:rPr>
          <w:rFonts w:ascii="Times New Roman" w:hAnsi="Times New Roman"/>
          <w:color w:val="000000"/>
          <w:szCs w:val="24"/>
        </w:rPr>
        <w:t xml:space="preserve"> sheeting</w:t>
      </w:r>
      <w:r w:rsidRPr="0058497D">
        <w:rPr>
          <w:rFonts w:ascii="Times New Roman" w:hAnsi="Times New Roman"/>
          <w:color w:val="000000"/>
          <w:szCs w:val="24"/>
        </w:rPr>
        <w:t>, sod, or hay bales appropriately to prevent a turbid discharge to the structure or water body.</w:t>
      </w:r>
      <w:proofErr w:type="gramEnd"/>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b. If water will discharge to an open water body, appropriate fabric silt screen or hay bales shall be used to prevent turbid discharges. When possible, establish a detention area to allow suspended solids to settle prior to entering the water body. </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c. If the above turbidity control measures are inadequate to retain sediment on-site and prevent turbid discharge, the permittee shall select, implement, and operate such </w:t>
      </w:r>
      <w:r w:rsidRPr="0058497D">
        <w:rPr>
          <w:rFonts w:ascii="Times New Roman" w:hAnsi="Times New Roman"/>
          <w:color w:val="000000"/>
          <w:szCs w:val="24"/>
        </w:rPr>
        <w:lastRenderedPageBreak/>
        <w:t>additional or modified erosion and sediment control measures necessary to prevent harmful water quality impacts from dewatering discharges to receiving waters.</w:t>
      </w:r>
    </w:p>
    <w:p w:rsidR="00DF67E6" w:rsidRPr="0058497D" w:rsidRDefault="00DF67E6" w:rsidP="00DF67E6">
      <w:pPr>
        <w:overflowPunct w:val="0"/>
        <w:autoSpaceDE w:val="0"/>
        <w:autoSpaceDN w:val="0"/>
        <w:ind w:left="630" w:hanging="270"/>
        <w:textAlignment w:val="baseline"/>
        <w:rPr>
          <w:rFonts w:ascii="Times New Roman" w:hAnsi="Times New Roman"/>
          <w:color w:val="000000"/>
          <w:szCs w:val="24"/>
        </w:rPr>
      </w:pPr>
      <w:r>
        <w:rPr>
          <w:rFonts w:ascii="Times New Roman" w:hAnsi="Times New Roman"/>
          <w:color w:val="000000"/>
          <w:szCs w:val="24"/>
        </w:rPr>
        <w:t>5</w:t>
      </w:r>
      <w:r w:rsidRPr="0058497D">
        <w:rPr>
          <w:rFonts w:ascii="Times New Roman" w:hAnsi="Times New Roman"/>
          <w:color w:val="000000"/>
          <w:szCs w:val="24"/>
        </w:rPr>
        <w:t>. District authorized staff, upon advance notice and proper identification, shall have permission to inspect and observe dewatering operations in order to determine compliance with this permit.</w:t>
      </w:r>
    </w:p>
    <w:p w:rsidR="00DF67E6" w:rsidRPr="0058497D" w:rsidRDefault="00DF67E6" w:rsidP="00DF67E6">
      <w:pPr>
        <w:overflowPunct w:val="0"/>
        <w:autoSpaceDE w:val="0"/>
        <w:autoSpaceDN w:val="0"/>
        <w:ind w:left="630" w:hanging="270"/>
        <w:textAlignment w:val="baseline"/>
        <w:rPr>
          <w:rFonts w:ascii="Times New Roman" w:hAnsi="Times New Roman"/>
          <w:color w:val="000000"/>
          <w:szCs w:val="24"/>
        </w:rPr>
      </w:pPr>
      <w:r>
        <w:rPr>
          <w:rFonts w:ascii="Times New Roman" w:hAnsi="Times New Roman"/>
          <w:color w:val="000000"/>
          <w:szCs w:val="24"/>
        </w:rPr>
        <w:t>6</w:t>
      </w:r>
      <w:r w:rsidRPr="0058497D">
        <w:rPr>
          <w:rFonts w:ascii="Times New Roman" w:hAnsi="Times New Roman"/>
          <w:color w:val="000000"/>
          <w:szCs w:val="24"/>
        </w:rPr>
        <w:t>. The permittee must mitigate any adverse impact caused by withdrawals permitted herein on adjacent land uses or legal uses of water existing at the time of permit application. Adverse impacts include but are not limited to:</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a. Reductions of well water levels resulting in a reduction of 10% in the ability of an adjacent well to produce water;</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b. Reductions of water levels in an adjacent surface water body resulting in a significant impairment of the use of water in that water body;</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c. Saline water intrusion;</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d. Change in water quality resulting in either impairment or loss of use of a well or water body;</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e. Land collapse or subsidence caused by a reduction in water levels; </w:t>
      </w:r>
    </w:p>
    <w:p w:rsidR="00DF67E6" w:rsidRPr="0058497D"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f. Damage to crops and other types of vegetation; and</w:t>
      </w:r>
    </w:p>
    <w:p w:rsidR="00DF67E6" w:rsidRDefault="00DF67E6" w:rsidP="00DF67E6">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g. Harmful hydrologic alterations to natural systems, including wetlands and other surface waters, that cause an unmitigated adverse impact to such systems.</w:t>
      </w:r>
    </w:p>
    <w:p w:rsidR="00DF67E6" w:rsidRDefault="00DF67E6" w:rsidP="00DF67E6">
      <w:pPr>
        <w:rPr>
          <w:rFonts w:ascii="Times New Roman" w:hAnsi="Times New Roman"/>
          <w:szCs w:val="24"/>
        </w:rPr>
      </w:pPr>
    </w:p>
    <w:p w:rsidR="00DF67E6" w:rsidRDefault="00DF67E6" w:rsidP="00DF67E6">
      <w:pPr>
        <w:rPr>
          <w:rFonts w:ascii="Times New Roman" w:hAnsi="Times New Roman"/>
          <w:szCs w:val="24"/>
        </w:rPr>
      </w:pPr>
    </w:p>
    <w:p w:rsidR="00082464" w:rsidRDefault="00082464"/>
    <w:sectPr w:rsidR="00082464" w:rsidSect="00FA79FE">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9A0" w:rsidRDefault="00F959A0" w:rsidP="00D82708">
      <w:r>
        <w:separator/>
      </w:r>
    </w:p>
  </w:endnote>
  <w:endnote w:type="continuationSeparator" w:id="0">
    <w:p w:rsidR="00F959A0" w:rsidRDefault="00F959A0" w:rsidP="00D82708">
      <w:r>
        <w:continuationSeparator/>
      </w:r>
    </w:p>
  </w:endnote>
</w:endnotes>
</file>

<file path=word/fontTable.xml><?xml version="1.0" encoding="utf-8"?>
<w:fonts xmlns:r="http://schemas.openxmlformats.org/officeDocument/2006/relationships" xmlns:w="http://schemas.openxmlformats.org/wordprocessingml/2006/main">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3CC" w:rsidRDefault="00F959A0">
    <w:pPr>
      <w:pStyle w:val="Footer"/>
      <w:jc w:val="center"/>
    </w:pPr>
  </w:p>
  <w:p w:rsidR="002273CC" w:rsidRPr="004E4C8D" w:rsidRDefault="00F959A0">
    <w:pPr>
      <w:pStyle w:val="Footer"/>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3CC" w:rsidRPr="004E4C8D" w:rsidRDefault="00DF67E6">
    <w:pPr>
      <w:pStyle w:val="Footer"/>
      <w:jc w:val="center"/>
      <w:rPr>
        <w:rFonts w:ascii="Times New Roman" w:hAnsi="Times New Roman"/>
      </w:rPr>
    </w:pPr>
    <w:r w:rsidRPr="004E4C8D">
      <w:rPr>
        <w:rFonts w:ascii="Times New Roman" w:hAnsi="Times New Roman"/>
      </w:rPr>
      <w:t>Appendix I-</w:t>
    </w:r>
    <w:r w:rsidR="002D754B" w:rsidRPr="004E4C8D">
      <w:rPr>
        <w:rFonts w:ascii="Times New Roman" w:hAnsi="Times New Roman"/>
      </w:rPr>
      <w:fldChar w:fldCharType="begin"/>
    </w:r>
    <w:r w:rsidRPr="004E4C8D">
      <w:rPr>
        <w:rFonts w:ascii="Times New Roman" w:hAnsi="Times New Roman"/>
      </w:rPr>
      <w:instrText xml:space="preserve"> PAGE   \* MERGEFORMAT </w:instrText>
    </w:r>
    <w:r w:rsidR="002D754B" w:rsidRPr="004E4C8D">
      <w:rPr>
        <w:rFonts w:ascii="Times New Roman" w:hAnsi="Times New Roman"/>
      </w:rPr>
      <w:fldChar w:fldCharType="separate"/>
    </w:r>
    <w:r w:rsidR="008018B6">
      <w:rPr>
        <w:rFonts w:ascii="Times New Roman" w:hAnsi="Times New Roman"/>
        <w:noProof/>
      </w:rPr>
      <w:t>1</w:t>
    </w:r>
    <w:r w:rsidR="002D754B" w:rsidRPr="004E4C8D">
      <w:rPr>
        <w:rFonts w:ascii="Times New Roman" w:hAnsi="Times New Roman"/>
      </w:rPr>
      <w:fldChar w:fldCharType="end"/>
    </w:r>
  </w:p>
  <w:p w:rsidR="002273CC" w:rsidRPr="004E4C8D" w:rsidRDefault="00F959A0">
    <w:pPr>
      <w:pStyle w:val="Foo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9A0" w:rsidRDefault="00F959A0" w:rsidP="00D82708">
      <w:r>
        <w:separator/>
      </w:r>
    </w:p>
  </w:footnote>
  <w:footnote w:type="continuationSeparator" w:id="0">
    <w:p w:rsidR="00F959A0" w:rsidRDefault="00F959A0" w:rsidP="00D8270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DF67E6"/>
    <w:rsid w:val="00082464"/>
    <w:rsid w:val="000B6AE7"/>
    <w:rsid w:val="000C16B2"/>
    <w:rsid w:val="00191BDA"/>
    <w:rsid w:val="002D754B"/>
    <w:rsid w:val="0037702D"/>
    <w:rsid w:val="00653F1B"/>
    <w:rsid w:val="007E0911"/>
    <w:rsid w:val="008018B6"/>
    <w:rsid w:val="00D02CCC"/>
    <w:rsid w:val="00D82708"/>
    <w:rsid w:val="00DF67E6"/>
    <w:rsid w:val="00F83AEB"/>
    <w:rsid w:val="00F959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mic Sans MS" w:eastAsiaTheme="minorHAnsi" w:hAnsi="Comic Sans MS"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7E6"/>
    <w:pPr>
      <w:spacing w:after="0" w:line="240" w:lineRule="auto"/>
    </w:pPr>
    <w:rPr>
      <w:rFonts w:ascii="Arial" w:eastAsia="Calibri"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67E6"/>
    <w:pPr>
      <w:tabs>
        <w:tab w:val="center" w:pos="4680"/>
        <w:tab w:val="right" w:pos="9360"/>
      </w:tabs>
    </w:pPr>
  </w:style>
  <w:style w:type="character" w:customStyle="1" w:styleId="FooterChar">
    <w:name w:val="Footer Char"/>
    <w:basedOn w:val="DefaultParagraphFont"/>
    <w:link w:val="Footer"/>
    <w:uiPriority w:val="99"/>
    <w:rsid w:val="00DF67E6"/>
    <w:rPr>
      <w:rFonts w:ascii="Arial" w:eastAsia="Calibri" w:hAnsi="Arial"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608</Words>
  <Characters>3635</Characters>
  <Application>Microsoft Office Word</Application>
  <DocSecurity>0</DocSecurity>
  <Lines>45</Lines>
  <Paragraphs>24</Paragraphs>
  <ScaleCrop>false</ScaleCrop>
  <Company>SJRWMD</Company>
  <LinksUpToDate>false</LinksUpToDate>
  <CharactersWithSpaces>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kbreed</dc:creator>
  <cp:lastModifiedBy>tmayton</cp:lastModifiedBy>
  <cp:revision>2</cp:revision>
  <dcterms:created xsi:type="dcterms:W3CDTF">2015-10-28T18:27:00Z</dcterms:created>
  <dcterms:modified xsi:type="dcterms:W3CDTF">2015-10-28T18:27:00Z</dcterms:modified>
</cp:coreProperties>
</file>