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A09" w:rsidRDefault="005A5A09" w:rsidP="005A5A09">
      <w:pPr>
        <w:widowControl w:val="0"/>
        <w:jc w:val="center"/>
        <w:rPr>
          <w:rFonts w:ascii="Calibri" w:hAnsi="Calibri" w:cs="Tahoma"/>
          <w:b/>
          <w:sz w:val="40"/>
          <w:szCs w:val="40"/>
        </w:rPr>
      </w:pPr>
    </w:p>
    <w:p w:rsidR="005A5A09" w:rsidRDefault="005A5A09" w:rsidP="005A5A09">
      <w:pPr>
        <w:widowControl w:val="0"/>
        <w:jc w:val="center"/>
        <w:rPr>
          <w:rFonts w:ascii="Calibri" w:hAnsi="Calibri" w:cs="Tahoma"/>
          <w:b/>
          <w:sz w:val="40"/>
          <w:szCs w:val="40"/>
        </w:rPr>
      </w:pPr>
    </w:p>
    <w:p w:rsidR="005A5A09" w:rsidRPr="00EB76A4" w:rsidRDefault="005A5A09" w:rsidP="005A5A09">
      <w:pPr>
        <w:widowControl w:val="0"/>
        <w:jc w:val="center"/>
        <w:rPr>
          <w:rFonts w:ascii="Calibri" w:hAnsi="Calibri" w:cs="Tahoma"/>
          <w:b/>
          <w:sz w:val="40"/>
          <w:szCs w:val="40"/>
        </w:rPr>
      </w:pPr>
      <w:r w:rsidRPr="00EB76A4">
        <w:rPr>
          <w:rFonts w:ascii="Calibri" w:hAnsi="Calibri" w:cs="Tahoma"/>
          <w:b/>
          <w:sz w:val="40"/>
          <w:szCs w:val="40"/>
        </w:rPr>
        <w:t>Part 3 – Sources and Uses of Non-CDBG Funds</w:t>
      </w:r>
    </w:p>
    <w:p w:rsidR="005A5A09" w:rsidRPr="00EB76A4" w:rsidRDefault="005A5A09" w:rsidP="005A5A09">
      <w:pPr>
        <w:widowControl w:val="0"/>
        <w:jc w:val="center"/>
        <w:rPr>
          <w:rFonts w:ascii="Calibri" w:hAnsi="Calibri" w:cs="Tahoma"/>
          <w:b/>
          <w:color w:val="000000"/>
          <w:sz w:val="22"/>
          <w:szCs w:val="22"/>
        </w:rPr>
      </w:pPr>
    </w:p>
    <w:p w:rsidR="005A5A09" w:rsidRPr="00EB76A4" w:rsidRDefault="005A5A09" w:rsidP="005A5A09">
      <w:pPr>
        <w:widowControl w:val="0"/>
        <w:jc w:val="center"/>
        <w:rPr>
          <w:rFonts w:ascii="Calibri" w:hAnsi="Calibri" w:cs="Tahoma"/>
          <w:b/>
          <w:color w:val="000000"/>
          <w:sz w:val="22"/>
          <w:szCs w:val="22"/>
        </w:rPr>
      </w:pPr>
    </w:p>
    <w:p w:rsidR="005A5A09" w:rsidRPr="00D944D2" w:rsidRDefault="005A5A09" w:rsidP="005A5A09">
      <w:pPr>
        <w:widowControl w:val="0"/>
        <w:jc w:val="center"/>
        <w:rPr>
          <w:rFonts w:ascii="Calibri" w:hAnsi="Calibri" w:cs="Tahoma"/>
          <w:b/>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Calibri" w:hAnsi="Calibri" w:cs="Tahoma"/>
          <w:color w:val="000000"/>
          <w:sz w:val="22"/>
          <w:szCs w:val="22"/>
        </w:rPr>
      </w:pPr>
    </w:p>
    <w:p w:rsidR="005A5A09" w:rsidRPr="00D944D2" w:rsidRDefault="005A5A09" w:rsidP="005A5A09">
      <w:pPr>
        <w:widowControl w:val="0"/>
        <w:jc w:val="center"/>
        <w:rPr>
          <w:rFonts w:ascii="Tahoma" w:hAnsi="Tahoma" w:cs="Tahoma"/>
          <w:b/>
          <w:color w:val="000000"/>
          <w:sz w:val="22"/>
          <w:szCs w:val="22"/>
        </w:rPr>
        <w:sectPr w:rsidR="005A5A09" w:rsidRPr="00D944D2" w:rsidSect="006069BF">
          <w:footerReference w:type="default" r:id="rId8"/>
          <w:headerReference w:type="first" r:id="rId9"/>
          <w:footerReference w:type="first" r:id="rId10"/>
          <w:pgSz w:w="15840" w:h="12240" w:orient="landscape" w:code="1"/>
          <w:pgMar w:top="1440" w:right="1008" w:bottom="1440" w:left="1440" w:header="720" w:footer="720" w:gutter="0"/>
          <w:cols w:space="720"/>
          <w:noEndnote/>
          <w:titlePg/>
        </w:sectPr>
      </w:pPr>
    </w:p>
    <w:p w:rsidR="005A5A09" w:rsidRPr="00BC2EDE" w:rsidRDefault="005A5A09" w:rsidP="005A5A09">
      <w:pPr>
        <w:widowControl w:val="0"/>
        <w:jc w:val="center"/>
        <w:rPr>
          <w:rFonts w:ascii="Calibri" w:hAnsi="Calibri" w:cs="Tahoma"/>
          <w:b/>
          <w:sz w:val="28"/>
          <w:szCs w:val="28"/>
          <w:u w:val="single"/>
        </w:rPr>
      </w:pPr>
    </w:p>
    <w:p w:rsidR="005A5A09" w:rsidRPr="00EB76A4" w:rsidRDefault="005A5A09" w:rsidP="005A5A09">
      <w:pPr>
        <w:widowControl w:val="0"/>
        <w:jc w:val="center"/>
        <w:rPr>
          <w:rFonts w:ascii="Calibri" w:hAnsi="Calibri" w:cs="Tahoma"/>
          <w:b/>
          <w:sz w:val="28"/>
          <w:szCs w:val="28"/>
        </w:rPr>
      </w:pPr>
      <w:r>
        <w:rPr>
          <w:rFonts w:ascii="Calibri" w:hAnsi="Calibri" w:cs="Tahoma"/>
          <w:b/>
          <w:sz w:val="28"/>
          <w:szCs w:val="28"/>
        </w:rPr>
        <w:t>Sources and Uses of Non-CDBG</w:t>
      </w:r>
      <w:r w:rsidRPr="00EB76A4">
        <w:rPr>
          <w:rFonts w:ascii="Calibri" w:hAnsi="Calibri" w:cs="Tahoma"/>
          <w:b/>
          <w:sz w:val="28"/>
          <w:szCs w:val="28"/>
        </w:rPr>
        <w:t xml:space="preserve"> Funds</w:t>
      </w:r>
    </w:p>
    <w:p w:rsidR="005A5A09" w:rsidRPr="00EB76A4" w:rsidRDefault="005A5A09" w:rsidP="005A5A09">
      <w:pPr>
        <w:widowControl w:val="0"/>
        <w:jc w:val="center"/>
        <w:rPr>
          <w:rFonts w:ascii="Calibri" w:hAnsi="Calibri" w:cs="Tahoma"/>
          <w:b/>
          <w:bCs/>
          <w:sz w:val="28"/>
          <w:szCs w:val="28"/>
        </w:rPr>
      </w:pPr>
      <w:r w:rsidRPr="00EB76A4">
        <w:rPr>
          <w:rFonts w:ascii="Calibri" w:hAnsi="Calibri" w:cs="Tahoma"/>
          <w:b/>
          <w:bCs/>
          <w:sz w:val="28"/>
          <w:szCs w:val="28"/>
        </w:rPr>
        <w:t>Private, Participating Party, Public Leverage from Non-Local and Local Funding Sources</w:t>
      </w:r>
    </w:p>
    <w:p w:rsidR="005A5A09" w:rsidRPr="00EB76A4" w:rsidRDefault="005A5A09" w:rsidP="005A5A09">
      <w:pPr>
        <w:widowControl w:val="0"/>
        <w:jc w:val="center"/>
        <w:rPr>
          <w:rFonts w:ascii="Calibri" w:hAnsi="Calibri" w:cs="Tahoma"/>
          <w:b/>
          <w:bCs/>
          <w:sz w:val="28"/>
          <w:szCs w:val="28"/>
        </w:rPr>
      </w:pPr>
      <w:r w:rsidRPr="00EB76A4">
        <w:rPr>
          <w:rFonts w:ascii="Calibri" w:hAnsi="Calibri" w:cs="Tahoma"/>
          <w:b/>
          <w:bCs/>
          <w:sz w:val="28"/>
          <w:szCs w:val="28"/>
        </w:rPr>
        <w:t>Table L-1</w:t>
      </w:r>
    </w:p>
    <w:p w:rsidR="005A5A09" w:rsidRPr="00EB76A4" w:rsidRDefault="005A5A09" w:rsidP="005A5A09">
      <w:pPr>
        <w:widowControl w:val="0"/>
        <w:jc w:val="center"/>
        <w:rPr>
          <w:rFonts w:ascii="Calibri" w:hAnsi="Calibri" w:cs="Tahoma"/>
          <w:b/>
          <w:bCs/>
          <w:sz w:val="16"/>
          <w:szCs w:val="16"/>
        </w:rPr>
      </w:pPr>
    </w:p>
    <w:tbl>
      <w:tblPr>
        <w:tblW w:w="13392" w:type="dxa"/>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20" w:type="dxa"/>
          <w:right w:w="120" w:type="dxa"/>
        </w:tblCellMar>
        <w:tblLook w:val="0000" w:firstRow="0" w:lastRow="0" w:firstColumn="0" w:lastColumn="0" w:noHBand="0" w:noVBand="0"/>
      </w:tblPr>
      <w:tblGrid>
        <w:gridCol w:w="1152"/>
        <w:gridCol w:w="3744"/>
        <w:gridCol w:w="1728"/>
        <w:gridCol w:w="1728"/>
        <w:gridCol w:w="5040"/>
      </w:tblGrid>
      <w:tr w:rsidR="005A5A09" w:rsidRPr="00EB76A4" w:rsidTr="00F865F2">
        <w:trPr>
          <w:cantSplit/>
          <w:trHeight w:val="376"/>
        </w:trPr>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rsidR="005A5A09" w:rsidRPr="00EB76A4" w:rsidRDefault="005A5A09" w:rsidP="00F865F2">
            <w:pPr>
              <w:widowControl w:val="0"/>
              <w:spacing w:before="100" w:beforeAutospacing="1" w:after="100" w:afterAutospacing="1"/>
              <w:jc w:val="center"/>
              <w:rPr>
                <w:rFonts w:ascii="Calibri" w:hAnsi="Calibri" w:cs="Tahoma"/>
                <w:b/>
                <w:bCs/>
                <w:sz w:val="22"/>
                <w:szCs w:val="22"/>
              </w:rPr>
            </w:pPr>
            <w:r w:rsidRPr="00EB76A4">
              <w:rPr>
                <w:rFonts w:ascii="Calibri" w:hAnsi="Calibri" w:cs="Tahoma"/>
                <w:b/>
                <w:sz w:val="22"/>
                <w:szCs w:val="22"/>
              </w:rPr>
              <w:t>Activity #</w:t>
            </w:r>
          </w:p>
        </w:tc>
        <w:tc>
          <w:tcPr>
            <w:tcW w:w="3744"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jc w:val="center"/>
              <w:rPr>
                <w:rFonts w:ascii="Calibri" w:hAnsi="Calibri" w:cs="Tahoma"/>
                <w:b/>
                <w:bCs/>
                <w:sz w:val="22"/>
                <w:szCs w:val="22"/>
              </w:rPr>
            </w:pPr>
            <w:r w:rsidRPr="00EB76A4">
              <w:rPr>
                <w:rFonts w:ascii="Calibri" w:hAnsi="Calibri" w:cs="Tahoma"/>
                <w:b/>
                <w:bCs/>
                <w:sz w:val="22"/>
                <w:szCs w:val="22"/>
              </w:rPr>
              <w:t>Source</w:t>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jc w:val="center"/>
              <w:rPr>
                <w:rFonts w:ascii="Calibri" w:hAnsi="Calibri" w:cs="Tahoma"/>
                <w:b/>
                <w:bCs/>
                <w:sz w:val="22"/>
                <w:szCs w:val="22"/>
              </w:rPr>
            </w:pPr>
            <w:r w:rsidRPr="00EB76A4">
              <w:rPr>
                <w:rFonts w:ascii="Calibri" w:hAnsi="Calibri" w:cs="Tahoma"/>
                <w:b/>
                <w:bCs/>
                <w:sz w:val="22"/>
                <w:szCs w:val="22"/>
              </w:rPr>
              <w:t>Amount</w:t>
            </w:r>
          </w:p>
          <w:p w:rsidR="005A5A09" w:rsidRPr="00EB76A4" w:rsidRDefault="005A5A09" w:rsidP="00F865F2">
            <w:pPr>
              <w:widowControl w:val="0"/>
              <w:jc w:val="center"/>
              <w:rPr>
                <w:rFonts w:ascii="Calibri" w:hAnsi="Calibri" w:cs="Tahoma"/>
                <w:b/>
                <w:bCs/>
                <w:sz w:val="22"/>
                <w:szCs w:val="22"/>
              </w:rPr>
            </w:pPr>
            <w:r w:rsidRPr="00EB76A4">
              <w:rPr>
                <w:rFonts w:ascii="Calibri" w:hAnsi="Calibri" w:cs="Tahoma"/>
                <w:b/>
                <w:bCs/>
                <w:sz w:val="22"/>
                <w:szCs w:val="22"/>
              </w:rPr>
              <w:t>Claimed for Scoring</w:t>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jc w:val="center"/>
              <w:rPr>
                <w:rFonts w:ascii="Calibri" w:hAnsi="Calibri" w:cs="Tahoma"/>
                <w:b/>
                <w:bCs/>
                <w:sz w:val="22"/>
                <w:szCs w:val="22"/>
              </w:rPr>
            </w:pPr>
            <w:r w:rsidRPr="00EB76A4">
              <w:rPr>
                <w:rFonts w:ascii="Calibri" w:hAnsi="Calibri" w:cs="Tahoma"/>
                <w:b/>
                <w:bCs/>
                <w:sz w:val="22"/>
                <w:szCs w:val="22"/>
              </w:rPr>
              <w:t>Amount</w:t>
            </w:r>
          </w:p>
          <w:p w:rsidR="005A5A09" w:rsidRPr="00EB76A4" w:rsidRDefault="005A5A09" w:rsidP="00F865F2">
            <w:pPr>
              <w:widowControl w:val="0"/>
              <w:jc w:val="center"/>
              <w:rPr>
                <w:rFonts w:ascii="Calibri" w:hAnsi="Calibri" w:cs="Tahoma"/>
                <w:b/>
                <w:bCs/>
                <w:sz w:val="22"/>
                <w:szCs w:val="22"/>
              </w:rPr>
            </w:pPr>
            <w:r w:rsidRPr="00EB76A4">
              <w:rPr>
                <w:rFonts w:ascii="Calibri" w:hAnsi="Calibri" w:cs="Tahoma"/>
                <w:b/>
                <w:bCs/>
                <w:sz w:val="22"/>
                <w:szCs w:val="22"/>
              </w:rPr>
              <w:t>Not Claimed for Scoring</w:t>
            </w:r>
          </w:p>
        </w:tc>
        <w:tc>
          <w:tcPr>
            <w:tcW w:w="5040"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jc w:val="center"/>
              <w:rPr>
                <w:rFonts w:ascii="Calibri" w:hAnsi="Calibri" w:cs="Tahoma"/>
                <w:b/>
                <w:bCs/>
                <w:sz w:val="22"/>
                <w:szCs w:val="22"/>
              </w:rPr>
            </w:pPr>
            <w:r w:rsidRPr="00EB76A4">
              <w:rPr>
                <w:rFonts w:ascii="Calibri" w:hAnsi="Calibri" w:cs="Tahoma"/>
                <w:b/>
                <w:bCs/>
                <w:sz w:val="22"/>
                <w:szCs w:val="22"/>
              </w:rPr>
              <w:t>Type</w:t>
            </w:r>
          </w:p>
          <w:p w:rsidR="005A5A09" w:rsidRPr="00EB76A4" w:rsidRDefault="005A5A09" w:rsidP="00F865F2">
            <w:pPr>
              <w:widowControl w:val="0"/>
              <w:jc w:val="center"/>
              <w:rPr>
                <w:rFonts w:ascii="Calibri" w:hAnsi="Calibri" w:cs="Tahoma"/>
                <w:b/>
                <w:bCs/>
                <w:sz w:val="22"/>
                <w:szCs w:val="22"/>
              </w:rPr>
            </w:pPr>
            <w:r w:rsidRPr="00EB76A4">
              <w:rPr>
                <w:rFonts w:ascii="Calibri" w:hAnsi="Calibri" w:cs="Tahoma"/>
                <w:b/>
                <w:bCs/>
                <w:sz w:val="22"/>
                <w:szCs w:val="22"/>
              </w:rPr>
              <w:t>(Participating Party, Loan, Grant, Local Government Funds, Donated Land, or Other Leverage)</w:t>
            </w:r>
          </w:p>
        </w:tc>
      </w:tr>
      <w:tr w:rsidR="005A5A09" w:rsidRPr="00EB76A4" w:rsidTr="00F865F2">
        <w:trPr>
          <w:cantSplit/>
          <w:trHeight w:hRule="exact" w:val="623"/>
        </w:trPr>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rsidR="005A5A09" w:rsidRPr="00EB76A4" w:rsidRDefault="005A5A09" w:rsidP="00F865F2">
            <w:pPr>
              <w:widowControl w:val="0"/>
              <w:rPr>
                <w:rFonts w:ascii="Calibri" w:hAnsi="Calibri" w:cs="Tahoma"/>
                <w:bCs/>
                <w:sz w:val="22"/>
                <w:szCs w:val="22"/>
              </w:rPr>
            </w:pPr>
            <w:r w:rsidRPr="00EB76A4">
              <w:rPr>
                <w:rFonts w:ascii="Calibri" w:hAnsi="Calibri" w:cs="Tahoma"/>
                <w:bCs/>
                <w:sz w:val="22"/>
                <w:szCs w:val="22"/>
              </w:rPr>
              <w:fldChar w:fldCharType="begin">
                <w:ffData>
                  <w:name w:val="Text7"/>
                  <w:enabled/>
                  <w:calcOnExit w:val="0"/>
                  <w:textInput/>
                </w:ffData>
              </w:fldChar>
            </w:r>
            <w:bookmarkStart w:id="0" w:name="Text71"/>
            <w:r w:rsidRPr="00EB76A4">
              <w:rPr>
                <w:rFonts w:ascii="Calibri" w:hAnsi="Calibri" w:cs="Tahoma"/>
                <w:bCs/>
                <w:sz w:val="22"/>
                <w:szCs w:val="22"/>
              </w:rPr>
              <w:instrText xml:space="preserve"> FORMTEXT </w:instrText>
            </w:r>
            <w:r w:rsidRPr="00EB76A4">
              <w:rPr>
                <w:rFonts w:ascii="Calibri" w:hAnsi="Calibri" w:cs="Tahoma"/>
                <w:bCs/>
                <w:sz w:val="22"/>
                <w:szCs w:val="22"/>
              </w:rPr>
            </w:r>
            <w:r w:rsidRPr="00EB76A4">
              <w:rPr>
                <w:rFonts w:ascii="Calibri" w:hAnsi="Calibri" w:cs="Tahoma"/>
                <w:bCs/>
                <w:sz w:val="22"/>
                <w:szCs w:val="22"/>
              </w:rPr>
              <w:fldChar w:fldCharType="separate"/>
            </w:r>
            <w:r w:rsidRPr="00EB76A4">
              <w:rPr>
                <w:rFonts w:ascii="Calibri" w:hAnsi="Calibri" w:cs="Tahoma"/>
                <w:bCs/>
                <w:noProof/>
                <w:sz w:val="22"/>
                <w:szCs w:val="22"/>
              </w:rPr>
              <w:t> </w:t>
            </w:r>
            <w:r w:rsidRPr="00EB76A4">
              <w:rPr>
                <w:rFonts w:ascii="Calibri" w:hAnsi="Calibri" w:cs="Tahoma"/>
                <w:bCs/>
                <w:noProof/>
                <w:sz w:val="22"/>
                <w:szCs w:val="22"/>
              </w:rPr>
              <w:t> </w:t>
            </w:r>
            <w:r w:rsidRPr="00EB76A4">
              <w:rPr>
                <w:rFonts w:ascii="Calibri" w:hAnsi="Calibri" w:cs="Tahoma"/>
                <w:bCs/>
                <w:noProof/>
                <w:sz w:val="22"/>
                <w:szCs w:val="22"/>
              </w:rPr>
              <w:t> </w:t>
            </w:r>
            <w:r w:rsidRPr="00EB76A4">
              <w:rPr>
                <w:rFonts w:ascii="Calibri" w:hAnsi="Calibri" w:cs="Tahoma"/>
                <w:bCs/>
                <w:noProof/>
                <w:sz w:val="22"/>
                <w:szCs w:val="22"/>
              </w:rPr>
              <w:t> </w:t>
            </w:r>
            <w:r w:rsidRPr="00EB76A4">
              <w:rPr>
                <w:rFonts w:ascii="Calibri" w:hAnsi="Calibri" w:cs="Tahoma"/>
                <w:bCs/>
                <w:noProof/>
                <w:sz w:val="22"/>
                <w:szCs w:val="22"/>
              </w:rPr>
              <w:t> </w:t>
            </w:r>
            <w:r w:rsidRPr="00EB76A4">
              <w:rPr>
                <w:rFonts w:ascii="Calibri" w:hAnsi="Calibri" w:cs="Tahoma"/>
                <w:bCs/>
                <w:sz w:val="22"/>
                <w:szCs w:val="22"/>
              </w:rPr>
              <w:fldChar w:fldCharType="end"/>
            </w:r>
            <w:bookmarkEnd w:id="0"/>
          </w:p>
        </w:tc>
        <w:tc>
          <w:tcPr>
            <w:tcW w:w="3744" w:type="dxa"/>
            <w:tcBorders>
              <w:top w:val="single" w:sz="4" w:space="0" w:color="auto"/>
              <w:left w:val="single" w:sz="4" w:space="0" w:color="auto"/>
              <w:bottom w:val="single" w:sz="4" w:space="0" w:color="auto"/>
              <w:right w:val="single" w:sz="4" w:space="0" w:color="auto"/>
            </w:tcBorders>
            <w:shd w:val="clear" w:color="auto" w:fill="FFFFFF"/>
            <w:vAlign w:val="center"/>
          </w:tcPr>
          <w:p w:rsidR="005A5A09" w:rsidRPr="00EB76A4" w:rsidRDefault="005A5A09" w:rsidP="00F865F2">
            <w:pPr>
              <w:widowControl w:val="0"/>
              <w:spacing w:before="100" w:beforeAutospacing="1" w:after="100" w:afterAutospacing="1"/>
              <w:rPr>
                <w:rFonts w:ascii="Calibri" w:hAnsi="Calibri" w:cs="Tahoma"/>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shd w:val="clear" w:color="auto" w:fill="FFFFFF"/>
            <w:vAlign w:val="center"/>
          </w:tcPr>
          <w:p w:rsidR="005A5A09" w:rsidRPr="00EB76A4" w:rsidRDefault="005A5A09" w:rsidP="00F865F2">
            <w:pPr>
              <w:widowControl w:val="0"/>
              <w:spacing w:before="100" w:beforeAutospacing="1" w:after="100" w:afterAutospacing="1"/>
              <w:rPr>
                <w:rFonts w:ascii="Calibri" w:hAnsi="Calibri" w:cs="Tahoma"/>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bookmarkStart w:id="1" w:name="Text51"/>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bookmarkEnd w:id="1"/>
          </w:p>
        </w:tc>
        <w:tc>
          <w:tcPr>
            <w:tcW w:w="1728" w:type="dxa"/>
            <w:tcBorders>
              <w:top w:val="single" w:sz="4" w:space="0" w:color="auto"/>
              <w:left w:val="single" w:sz="4" w:space="0" w:color="auto"/>
              <w:bottom w:val="single" w:sz="4" w:space="0" w:color="auto"/>
              <w:right w:val="single" w:sz="4" w:space="0" w:color="auto"/>
            </w:tcBorders>
            <w:shd w:val="clear" w:color="auto" w:fill="FFFFFF"/>
            <w:vAlign w:val="center"/>
          </w:tcPr>
          <w:p w:rsidR="005A5A09" w:rsidRPr="00EB76A4" w:rsidRDefault="005A5A09" w:rsidP="00F865F2">
            <w:pPr>
              <w:widowControl w:val="0"/>
              <w:spacing w:before="100" w:beforeAutospacing="1" w:after="100" w:afterAutospacing="1"/>
              <w:rPr>
                <w:rFonts w:ascii="Calibri" w:hAnsi="Calibri" w:cs="Tahoma"/>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5040" w:type="dxa"/>
            <w:tcBorders>
              <w:top w:val="single" w:sz="4" w:space="0" w:color="auto"/>
              <w:left w:val="single" w:sz="4" w:space="0" w:color="auto"/>
              <w:bottom w:val="single" w:sz="4" w:space="0" w:color="auto"/>
              <w:right w:val="single" w:sz="4" w:space="0" w:color="auto"/>
            </w:tcBorders>
            <w:shd w:val="clear" w:color="auto" w:fill="FFFFFF"/>
            <w:vAlign w:val="center"/>
          </w:tcPr>
          <w:p w:rsidR="005A5A09" w:rsidRPr="00EB76A4" w:rsidRDefault="005A5A09" w:rsidP="00F865F2">
            <w:pPr>
              <w:widowControl w:val="0"/>
              <w:spacing w:before="100" w:beforeAutospacing="1" w:after="100" w:afterAutospacing="1"/>
              <w:rPr>
                <w:rFonts w:ascii="Calibri" w:hAnsi="Calibri" w:cs="Tahoma"/>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r>
      <w:tr w:rsidR="005A5A09" w:rsidRPr="00EB76A4" w:rsidTr="00F865F2">
        <w:trPr>
          <w:cantSplit/>
          <w:trHeight w:hRule="exact" w:val="720"/>
        </w:trPr>
        <w:tc>
          <w:tcPr>
            <w:tcW w:w="1152"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3744"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5040"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r>
      <w:tr w:rsidR="005A5A09" w:rsidRPr="00EB76A4" w:rsidTr="00F865F2">
        <w:trPr>
          <w:cantSplit/>
          <w:trHeight w:hRule="exact" w:val="720"/>
        </w:trPr>
        <w:tc>
          <w:tcPr>
            <w:tcW w:w="1152"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3744"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5040"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r>
      <w:tr w:rsidR="005A5A09" w:rsidRPr="00EB76A4" w:rsidTr="00F865F2">
        <w:trPr>
          <w:cantSplit/>
          <w:trHeight w:hRule="exact" w:val="720"/>
        </w:trPr>
        <w:tc>
          <w:tcPr>
            <w:tcW w:w="1152"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3744"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5040"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r>
      <w:tr w:rsidR="005A5A09" w:rsidRPr="00EB76A4" w:rsidTr="00F865F2">
        <w:trPr>
          <w:cantSplit/>
          <w:trHeight w:hRule="exact" w:val="720"/>
        </w:trPr>
        <w:tc>
          <w:tcPr>
            <w:tcW w:w="1152"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3744"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5040"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r>
      <w:tr w:rsidR="005A5A09" w:rsidRPr="00EB76A4" w:rsidTr="00F865F2">
        <w:trPr>
          <w:cantSplit/>
          <w:trHeight w:hRule="exact" w:val="720"/>
        </w:trPr>
        <w:tc>
          <w:tcPr>
            <w:tcW w:w="1152"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3744"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5040"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bCs/>
                <w:sz w:val="22"/>
                <w:szCs w:val="22"/>
              </w:rPr>
            </w:pP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r>
      <w:tr w:rsidR="005A5A09" w:rsidRPr="00EB76A4" w:rsidTr="00F865F2">
        <w:trPr>
          <w:cantSplit/>
          <w:trHeight w:hRule="exact" w:val="722"/>
        </w:trPr>
        <w:tc>
          <w:tcPr>
            <w:tcW w:w="4896" w:type="dxa"/>
            <w:gridSpan w:val="2"/>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jc w:val="right"/>
              <w:rPr>
                <w:rFonts w:ascii="Calibri" w:hAnsi="Calibri" w:cs="Tahoma"/>
                <w:sz w:val="22"/>
                <w:szCs w:val="22"/>
              </w:rPr>
            </w:pPr>
            <w:r w:rsidRPr="00EB76A4">
              <w:rPr>
                <w:rFonts w:ascii="Calibri" w:hAnsi="Calibri" w:cs="Tahoma"/>
                <w:sz w:val="22"/>
                <w:szCs w:val="22"/>
              </w:rPr>
              <w:t>Totals</w:t>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5040" w:type="dxa"/>
            <w:tcBorders>
              <w:top w:val="single" w:sz="4" w:space="0" w:color="auto"/>
              <w:left w:val="single" w:sz="4" w:space="0" w:color="auto"/>
              <w:bottom w:val="single" w:sz="4" w:space="0" w:color="auto"/>
              <w:right w:val="single" w:sz="4" w:space="0" w:color="auto"/>
            </w:tcBorders>
            <w:shd w:val="clear" w:color="auto" w:fill="BFBFBF"/>
            <w:vAlign w:val="center"/>
          </w:tcPr>
          <w:p w:rsidR="005A5A09" w:rsidRPr="00EB76A4" w:rsidRDefault="005A5A09" w:rsidP="00F865F2">
            <w:pPr>
              <w:widowControl w:val="0"/>
              <w:spacing w:before="100" w:beforeAutospacing="1" w:after="100" w:afterAutospacing="1"/>
              <w:rPr>
                <w:rFonts w:ascii="Calibri" w:hAnsi="Calibri" w:cs="Tahoma"/>
                <w:sz w:val="22"/>
                <w:szCs w:val="22"/>
              </w:rPr>
            </w:pPr>
          </w:p>
        </w:tc>
      </w:tr>
      <w:tr w:rsidR="005A5A09" w:rsidRPr="00EB76A4" w:rsidTr="00F865F2">
        <w:trPr>
          <w:cantSplit/>
          <w:trHeight w:hRule="exact" w:val="722"/>
        </w:trPr>
        <w:tc>
          <w:tcPr>
            <w:tcW w:w="4896" w:type="dxa"/>
            <w:gridSpan w:val="2"/>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jc w:val="right"/>
              <w:rPr>
                <w:rFonts w:ascii="Calibri" w:hAnsi="Calibri" w:cs="Tahoma"/>
                <w:sz w:val="22"/>
                <w:szCs w:val="22"/>
              </w:rPr>
            </w:pPr>
            <w:r w:rsidRPr="00EB76A4">
              <w:rPr>
                <w:rFonts w:ascii="Calibri" w:hAnsi="Calibri" w:cs="Tahoma"/>
                <w:sz w:val="22"/>
                <w:szCs w:val="22"/>
              </w:rPr>
              <w:t>Total Funds Claimed for Leverage Scoring</w:t>
            </w:r>
          </w:p>
        </w:tc>
        <w:tc>
          <w:tcPr>
            <w:tcW w:w="1728" w:type="dxa"/>
            <w:tcBorders>
              <w:top w:val="single" w:sz="4" w:space="0" w:color="auto"/>
              <w:left w:val="single" w:sz="4" w:space="0" w:color="auto"/>
              <w:bottom w:val="single" w:sz="4" w:space="0" w:color="auto"/>
              <w:right w:val="single" w:sz="4" w:space="0" w:color="auto"/>
            </w:tcBorders>
            <w:vAlign w:val="center"/>
          </w:tcPr>
          <w:p w:rsidR="005A5A09" w:rsidRPr="00EB76A4" w:rsidRDefault="005A5A09" w:rsidP="00F865F2">
            <w:pPr>
              <w:widowControl w:val="0"/>
              <w:spacing w:before="100" w:beforeAutospacing="1" w:after="100" w:afterAutospacing="1"/>
              <w:rPr>
                <w:rFonts w:ascii="Calibri" w:hAnsi="Calibri" w:cs="Tahoma"/>
                <w:sz w:val="22"/>
                <w:szCs w:val="22"/>
              </w:rPr>
            </w:pPr>
            <w:r w:rsidRPr="00EB76A4">
              <w:rPr>
                <w:rFonts w:ascii="Calibri" w:hAnsi="Calibri" w:cs="Tahoma"/>
                <w:sz w:val="22"/>
                <w:szCs w:val="22"/>
              </w:rPr>
              <w:t>$</w:t>
            </w:r>
            <w:r w:rsidRPr="00EB76A4">
              <w:rPr>
                <w:rFonts w:ascii="Calibri" w:hAnsi="Calibri" w:cs="Tahoma"/>
                <w:sz w:val="22"/>
                <w:szCs w:val="22"/>
              </w:rPr>
              <w:fldChar w:fldCharType="begin">
                <w:ffData>
                  <w:name w:val="Text5"/>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p>
        </w:tc>
        <w:tc>
          <w:tcPr>
            <w:tcW w:w="1728" w:type="dxa"/>
            <w:tcBorders>
              <w:top w:val="single" w:sz="4" w:space="0" w:color="auto"/>
              <w:left w:val="single" w:sz="4" w:space="0" w:color="auto"/>
              <w:bottom w:val="single" w:sz="4" w:space="0" w:color="auto"/>
              <w:right w:val="single" w:sz="4" w:space="0" w:color="auto"/>
            </w:tcBorders>
            <w:shd w:val="clear" w:color="auto" w:fill="BFBFBF"/>
            <w:vAlign w:val="center"/>
          </w:tcPr>
          <w:p w:rsidR="005A5A09" w:rsidRPr="00EB76A4" w:rsidRDefault="005A5A09" w:rsidP="00F865F2">
            <w:pPr>
              <w:widowControl w:val="0"/>
              <w:spacing w:before="100" w:beforeAutospacing="1" w:after="100" w:afterAutospacing="1"/>
              <w:rPr>
                <w:rFonts w:ascii="Calibri" w:hAnsi="Calibri" w:cs="Tahoma"/>
                <w:sz w:val="22"/>
                <w:szCs w:val="22"/>
              </w:rPr>
            </w:pPr>
          </w:p>
        </w:tc>
        <w:tc>
          <w:tcPr>
            <w:tcW w:w="5040" w:type="dxa"/>
            <w:tcBorders>
              <w:top w:val="single" w:sz="4" w:space="0" w:color="auto"/>
              <w:left w:val="single" w:sz="4" w:space="0" w:color="auto"/>
              <w:bottom w:val="single" w:sz="4" w:space="0" w:color="auto"/>
              <w:right w:val="single" w:sz="4" w:space="0" w:color="auto"/>
            </w:tcBorders>
            <w:shd w:val="clear" w:color="auto" w:fill="BFBFBF"/>
            <w:vAlign w:val="center"/>
          </w:tcPr>
          <w:p w:rsidR="005A5A09" w:rsidRPr="00EB76A4" w:rsidRDefault="005A5A09" w:rsidP="00F865F2">
            <w:pPr>
              <w:widowControl w:val="0"/>
              <w:spacing w:before="100" w:beforeAutospacing="1" w:after="100" w:afterAutospacing="1"/>
              <w:rPr>
                <w:rFonts w:ascii="Calibri" w:hAnsi="Calibri" w:cs="Tahoma"/>
                <w:sz w:val="22"/>
                <w:szCs w:val="22"/>
              </w:rPr>
            </w:pPr>
          </w:p>
        </w:tc>
      </w:tr>
    </w:tbl>
    <w:p w:rsidR="005A5A09" w:rsidRPr="00EB76A4" w:rsidRDefault="005A5A09" w:rsidP="005A5A09">
      <w:pPr>
        <w:ind w:left="-270"/>
        <w:rPr>
          <w:rFonts w:ascii="Calibri" w:hAnsi="Calibri"/>
          <w:sz w:val="22"/>
          <w:szCs w:val="22"/>
        </w:rPr>
      </w:pPr>
    </w:p>
    <w:p w:rsidR="005A5A09" w:rsidRPr="00EB76A4" w:rsidRDefault="005A5A09" w:rsidP="005A5A09">
      <w:pPr>
        <w:ind w:left="-270"/>
        <w:rPr>
          <w:rFonts w:ascii="Calibri" w:hAnsi="Calibri" w:cs="Tahoma"/>
          <w:sz w:val="22"/>
          <w:szCs w:val="22"/>
        </w:rPr>
      </w:pPr>
      <w:r w:rsidRPr="00EB76A4">
        <w:rPr>
          <w:rFonts w:ascii="Calibri" w:hAnsi="Calibri" w:cs="Tahoma"/>
          <w:sz w:val="22"/>
          <w:szCs w:val="22"/>
        </w:rPr>
        <w:t>Use the preceding totals to compute the number of points you are claiming for leverage scoring on the next page.</w:t>
      </w:r>
    </w:p>
    <w:p w:rsidR="005A5A09" w:rsidRPr="00BC2EDE" w:rsidRDefault="005A5A09" w:rsidP="005A5A09">
      <w:pPr>
        <w:ind w:left="-270"/>
        <w:rPr>
          <w:rFonts w:ascii="Tahoma" w:hAnsi="Tahoma" w:cs="Tahoma"/>
          <w:sz w:val="20"/>
        </w:rPr>
      </w:pPr>
    </w:p>
    <w:p w:rsidR="005A5A09" w:rsidRPr="00BC2EDE" w:rsidRDefault="005A5A09" w:rsidP="005A5A09">
      <w:pPr>
        <w:ind w:left="-270"/>
        <w:jc w:val="center"/>
        <w:rPr>
          <w:rFonts w:ascii="Tahoma" w:hAnsi="Tahoma" w:cs="Tahoma"/>
          <w:b/>
          <w:sz w:val="20"/>
          <w:szCs w:val="22"/>
        </w:rPr>
      </w:pPr>
      <w:r w:rsidRPr="00BC2EDE">
        <w:rPr>
          <w:rFonts w:ascii="Tahoma" w:hAnsi="Tahoma" w:cs="Tahoma"/>
          <w:b/>
          <w:sz w:val="20"/>
          <w:szCs w:val="22"/>
        </w:rPr>
        <w:br w:type="page"/>
      </w:r>
    </w:p>
    <w:p w:rsidR="005A5A09" w:rsidRPr="00EB76A4" w:rsidRDefault="005A5A09" w:rsidP="005A5A09">
      <w:pPr>
        <w:ind w:left="-270"/>
        <w:jc w:val="center"/>
        <w:rPr>
          <w:rFonts w:ascii="Calibri" w:hAnsi="Calibri" w:cs="Tahoma"/>
          <w:b/>
          <w:sz w:val="28"/>
          <w:szCs w:val="28"/>
        </w:rPr>
      </w:pPr>
      <w:r w:rsidRPr="00EB76A4">
        <w:rPr>
          <w:rFonts w:ascii="Calibri" w:hAnsi="Calibri" w:cs="Tahoma"/>
          <w:b/>
          <w:sz w:val="28"/>
          <w:szCs w:val="28"/>
        </w:rPr>
        <w:t>Leverage Score Summary</w:t>
      </w:r>
    </w:p>
    <w:p w:rsidR="005A5A09" w:rsidRPr="00EB76A4" w:rsidRDefault="005A5A09" w:rsidP="005A5A09">
      <w:pPr>
        <w:jc w:val="center"/>
        <w:rPr>
          <w:rFonts w:ascii="Tahoma" w:hAnsi="Tahoma" w:cs="Tahoma"/>
          <w:b/>
          <w:sz w:val="20"/>
          <w:szCs w:val="22"/>
        </w:rPr>
      </w:pPr>
    </w:p>
    <w:tbl>
      <w:tblPr>
        <w:tblW w:w="12240"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240"/>
      </w:tblGrid>
      <w:tr w:rsidR="005A5A09" w:rsidRPr="00EB76A4" w:rsidTr="00F865F2">
        <w:trPr>
          <w:cantSplit/>
          <w:trHeight w:val="1582"/>
        </w:trPr>
        <w:tc>
          <w:tcPr>
            <w:tcW w:w="12240" w:type="dxa"/>
          </w:tcPr>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b/>
                <w:color w:val="C00000"/>
                <w:sz w:val="22"/>
                <w:szCs w:val="22"/>
              </w:rPr>
            </w:pPr>
            <w:r w:rsidRPr="00EB76A4">
              <w:rPr>
                <w:rFonts w:ascii="Calibri" w:hAnsi="Calibri" w:cs="Tahoma"/>
                <w:b/>
                <w:color w:val="C00000"/>
                <w:sz w:val="22"/>
                <w:szCs w:val="22"/>
              </w:rPr>
              <w:t>Leverage Points Calculation for NR, CR, and HR</w: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b/>
                <w:color w:val="C00000"/>
                <w:sz w:val="22"/>
                <w:szCs w:val="22"/>
              </w:rPr>
            </w:pPr>
            <w:r w:rsidRPr="00EB76A4">
              <w:rPr>
                <w:rFonts w:ascii="Calibri" w:hAnsi="Calibri" w:cs="Tahoma"/>
                <w:b/>
                <w:color w:val="C00000"/>
                <w:sz w:val="22"/>
                <w:szCs w:val="22"/>
              </w:rPr>
              <w:t>Communities with a LMI Population of 1,249 or Less</w:t>
            </w:r>
          </w:p>
          <w:p w:rsidR="005A5A09" w:rsidRPr="00EB76A4" w:rsidRDefault="005A5A09" w:rsidP="00F865F2">
            <w:pPr>
              <w:widowControl w:val="0"/>
              <w:tabs>
                <w:tab w:val="right" w:pos="5190"/>
                <w:tab w:val="right" w:pos="5566"/>
                <w:tab w:val="right" w:pos="6270"/>
                <w:tab w:val="right" w:pos="6630"/>
                <w:tab w:val="right" w:pos="7980"/>
              </w:tabs>
              <w:rPr>
                <w:rFonts w:ascii="Calibri" w:hAnsi="Calibri" w:cs="Tahoma"/>
                <w:sz w:val="22"/>
                <w:szCs w:val="22"/>
              </w:rPr>
            </w:pPr>
          </w:p>
          <w:p w:rsidR="005A5A09" w:rsidRPr="00EB76A4" w:rsidRDefault="005A5A09" w:rsidP="00F865F2">
            <w:pPr>
              <w:widowControl w:val="0"/>
              <w:tabs>
                <w:tab w:val="center" w:pos="4560"/>
                <w:tab w:val="right" w:pos="5566"/>
                <w:tab w:val="right" w:pos="6360"/>
                <w:tab w:val="right" w:pos="6630"/>
                <w:tab w:val="center" w:pos="7366"/>
                <w:tab w:val="left" w:pos="7890"/>
              </w:tabs>
              <w:rPr>
                <w:rFonts w:ascii="Calibri" w:hAnsi="Calibri" w:cs="Tahoma"/>
                <w:sz w:val="22"/>
                <w:szCs w:val="22"/>
              </w:rPr>
            </w:pPr>
            <w:r w:rsidRPr="00EB76A4">
              <w:rPr>
                <w:rFonts w:ascii="Calibri" w:hAnsi="Calibri" w:cs="Tahoma"/>
                <w:sz w:val="22"/>
                <w:szCs w:val="22"/>
              </w:rPr>
              <w:tab/>
              <w:t>$</w:t>
            </w:r>
            <w:bookmarkStart w:id="2" w:name="Text3"/>
            <w:r w:rsidRPr="00EB76A4">
              <w:rPr>
                <w:rFonts w:ascii="Calibri" w:hAnsi="Calibri" w:cs="Tahoma"/>
                <w:sz w:val="22"/>
                <w:szCs w:val="22"/>
              </w:rPr>
              <w:fldChar w:fldCharType="begin">
                <w:ffData>
                  <w:name w:val="Text3"/>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bookmarkEnd w:id="2"/>
            <w:r w:rsidRPr="00EB76A4">
              <w:rPr>
                <w:rFonts w:ascii="Calibri" w:hAnsi="Calibri" w:cs="Tahoma"/>
                <w:sz w:val="22"/>
                <w:szCs w:val="22"/>
              </w:rPr>
              <w:tab/>
            </w:r>
            <w:r w:rsidRPr="00EB76A4">
              <w:rPr>
                <w:rFonts w:ascii="Calibri" w:hAnsi="Calibri" w:cs="Tahoma"/>
                <w:sz w:val="22"/>
                <w:szCs w:val="22"/>
              </w:rPr>
              <w:sym w:font="Symbol" w:char="F0B8"/>
            </w:r>
            <w:r w:rsidRPr="00EB76A4">
              <w:rPr>
                <w:rFonts w:ascii="Calibri" w:hAnsi="Calibri" w:cs="Tahoma"/>
                <w:sz w:val="22"/>
                <w:szCs w:val="22"/>
              </w:rPr>
              <w:tab/>
              <w:t>$1,000</w:t>
            </w:r>
            <w:r w:rsidRPr="00EB76A4">
              <w:rPr>
                <w:rFonts w:ascii="Calibri" w:hAnsi="Calibri" w:cs="Tahoma"/>
                <w:sz w:val="22"/>
                <w:szCs w:val="22"/>
              </w:rPr>
              <w:tab/>
              <w:t>=</w:t>
            </w:r>
            <w:r w:rsidRPr="00EB76A4">
              <w:rPr>
                <w:rFonts w:ascii="Calibri" w:hAnsi="Calibri" w:cs="Tahoma"/>
                <w:sz w:val="22"/>
                <w:szCs w:val="22"/>
              </w:rPr>
              <w:tab/>
            </w:r>
            <w:bookmarkStart w:id="3" w:name="Text4"/>
            <w:r w:rsidRPr="00EB76A4">
              <w:rPr>
                <w:rFonts w:ascii="Calibri" w:hAnsi="Calibri" w:cs="Tahoma"/>
                <w:sz w:val="22"/>
                <w:szCs w:val="22"/>
              </w:rPr>
              <w:fldChar w:fldCharType="begin">
                <w:ffData>
                  <w:name w:val="Text4"/>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bookmarkEnd w:id="3"/>
            <w:r w:rsidRPr="00EB76A4">
              <w:rPr>
                <w:rFonts w:ascii="Calibri" w:hAnsi="Calibri" w:cs="Tahoma"/>
                <w:sz w:val="22"/>
                <w:szCs w:val="22"/>
              </w:rPr>
              <w:tab/>
              <w:t>Points</w:t>
            </w:r>
          </w:p>
          <w:p w:rsidR="005A5A09" w:rsidRPr="00EB76A4" w:rsidRDefault="00395E2D" w:rsidP="00F865F2">
            <w:pPr>
              <w:widowControl w:val="0"/>
              <w:tabs>
                <w:tab w:val="right" w:pos="5190"/>
                <w:tab w:val="right" w:pos="5566"/>
                <w:tab w:val="right" w:pos="6270"/>
                <w:tab w:val="right" w:pos="6630"/>
                <w:tab w:val="right" w:pos="7980"/>
              </w:tabs>
              <w:rPr>
                <w:rFonts w:ascii="Calibri" w:hAnsi="Calibri" w:cs="Tahoma"/>
                <w:sz w:val="22"/>
                <w:szCs w:val="22"/>
              </w:rPr>
            </w:pPr>
            <w:r w:rsidRPr="00EB76A4">
              <w:rPr>
                <w:rFonts w:ascii="Calibri" w:hAnsi="Calibri" w:cs="Tahoma"/>
                <w:noProof/>
                <w:sz w:val="22"/>
                <w:szCs w:val="22"/>
              </w:rPr>
              <mc:AlternateContent>
                <mc:Choice Requires="wps">
                  <w:drawing>
                    <wp:anchor distT="0" distB="0" distL="114300" distR="114300" simplePos="0" relativeHeight="251657728" behindDoc="0" locked="0" layoutInCell="1" allowOverlap="1">
                      <wp:simplePos x="0" y="0"/>
                      <wp:positionH relativeFrom="column">
                        <wp:posOffset>4436110</wp:posOffset>
                      </wp:positionH>
                      <wp:positionV relativeFrom="paragraph">
                        <wp:posOffset>26670</wp:posOffset>
                      </wp:positionV>
                      <wp:extent cx="558165" cy="0"/>
                      <wp:effectExtent l="6985" t="6350" r="6350" b="12700"/>
                      <wp:wrapNone/>
                      <wp:docPr id="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EE867F" id="_x0000_t32" coordsize="21600,21600" o:spt="32" o:oned="t" path="m,l21600,21600e" filled="f">
                      <v:path arrowok="t" fillok="f" o:connecttype="none"/>
                      <o:lock v:ext="edit" shapetype="t"/>
                    </v:shapetype>
                    <v:shape id="AutoShape 35" o:spid="_x0000_s1026" type="#_x0000_t32" style="position:absolute;margin-left:349.3pt;margin-top:2.1pt;width:43.9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"/>
                  </w:pict>
                </mc:Fallback>
              </mc:AlternateContent>
            </w:r>
            <w:r w:rsidRPr="00EB76A4">
              <w:rPr>
                <w:rFonts w:ascii="Calibri" w:hAnsi="Calibri" w:cs="Tahoma"/>
                <w:noProof/>
                <w:sz w:val="22"/>
                <w:szCs w:val="22"/>
              </w:rPr>
              <mc:AlternateContent>
                <mc:Choice Requires="wps">
                  <w:drawing>
                    <wp:anchor distT="0" distB="0" distL="114300" distR="114300" simplePos="0" relativeHeight="251656704" behindDoc="0" locked="0" layoutInCell="1" allowOverlap="1">
                      <wp:simplePos x="0" y="0"/>
                      <wp:positionH relativeFrom="column">
                        <wp:posOffset>2498725</wp:posOffset>
                      </wp:positionH>
                      <wp:positionV relativeFrom="paragraph">
                        <wp:posOffset>26670</wp:posOffset>
                      </wp:positionV>
                      <wp:extent cx="833755" cy="0"/>
                      <wp:effectExtent l="12700" t="6350" r="10795" b="12700"/>
                      <wp:wrapNone/>
                      <wp:docPr id="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3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E8145" id="AutoShape 34" o:spid="_x0000_s1026" type="#_x0000_t32" style="position:absolute;margin-left:196.75pt;margin-top:2.1pt;width:65.6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6OkHgIAADs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"/>
                  </w:pict>
                </mc:Fallback>
              </mc:AlternateConten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r w:rsidRPr="00EB76A4">
              <w:rPr>
                <w:rFonts w:ascii="Calibri" w:hAnsi="Calibri" w:cs="Tahoma"/>
                <w:sz w:val="22"/>
                <w:szCs w:val="22"/>
              </w:rPr>
              <w:t>(25 Points Maximum)</w: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p>
        </w:tc>
      </w:tr>
      <w:tr w:rsidR="005A5A09" w:rsidRPr="00EB76A4" w:rsidTr="00F865F2">
        <w:trPr>
          <w:cantSplit/>
          <w:trHeight w:val="1582"/>
        </w:trPr>
        <w:tc>
          <w:tcPr>
            <w:tcW w:w="12240" w:type="dxa"/>
          </w:tcPr>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highlight w:val="yellow"/>
              </w:rPr>
            </w:pP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b/>
                <w:color w:val="C00000"/>
                <w:sz w:val="22"/>
                <w:szCs w:val="22"/>
              </w:rPr>
            </w:pPr>
            <w:r w:rsidRPr="00EB76A4">
              <w:rPr>
                <w:rFonts w:ascii="Calibri" w:hAnsi="Calibri" w:cs="Tahoma"/>
                <w:b/>
                <w:color w:val="C00000"/>
                <w:sz w:val="22"/>
                <w:szCs w:val="22"/>
              </w:rPr>
              <w:t>Leverage Points Calculation for NR, CR, and HR</w: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b/>
                <w:color w:val="C00000"/>
                <w:sz w:val="22"/>
                <w:szCs w:val="22"/>
              </w:rPr>
            </w:pPr>
            <w:r w:rsidRPr="00EB76A4">
              <w:rPr>
                <w:rFonts w:ascii="Calibri" w:hAnsi="Calibri" w:cs="Tahoma"/>
                <w:b/>
                <w:color w:val="C00000"/>
                <w:sz w:val="22"/>
                <w:szCs w:val="22"/>
              </w:rPr>
              <w:t>Communities with a LMI Population of 1,250 or More</w:t>
            </w:r>
          </w:p>
          <w:p w:rsidR="005A5A09" w:rsidRPr="00EB76A4" w:rsidRDefault="005A5A09" w:rsidP="00F865F2">
            <w:pPr>
              <w:widowControl w:val="0"/>
              <w:tabs>
                <w:tab w:val="right" w:pos="5190"/>
                <w:tab w:val="right" w:pos="5566"/>
                <w:tab w:val="right" w:pos="6270"/>
                <w:tab w:val="right" w:pos="6630"/>
                <w:tab w:val="right" w:pos="7980"/>
              </w:tabs>
              <w:rPr>
                <w:rFonts w:ascii="Calibri" w:hAnsi="Calibri" w:cs="Tahoma"/>
                <w:sz w:val="22"/>
                <w:szCs w:val="22"/>
              </w:rPr>
            </w:pPr>
          </w:p>
          <w:p w:rsidR="005A5A09" w:rsidRPr="00EB76A4" w:rsidRDefault="005A5A09" w:rsidP="00F865F2">
            <w:pPr>
              <w:widowControl w:val="0"/>
              <w:tabs>
                <w:tab w:val="center" w:pos="4560"/>
                <w:tab w:val="right" w:pos="5566"/>
                <w:tab w:val="right" w:pos="6360"/>
                <w:tab w:val="right" w:pos="6630"/>
                <w:tab w:val="center" w:pos="7366"/>
                <w:tab w:val="left" w:pos="7890"/>
              </w:tabs>
              <w:rPr>
                <w:rFonts w:ascii="Calibri" w:hAnsi="Calibri" w:cs="Tahoma"/>
                <w:sz w:val="22"/>
                <w:szCs w:val="22"/>
              </w:rPr>
            </w:pPr>
            <w:r w:rsidRPr="00EB76A4">
              <w:rPr>
                <w:rFonts w:ascii="Calibri" w:hAnsi="Calibri" w:cs="Tahoma"/>
                <w:sz w:val="22"/>
                <w:szCs w:val="22"/>
              </w:rPr>
              <w:tab/>
              <w:t>$</w:t>
            </w:r>
            <w:r w:rsidRPr="00EB76A4">
              <w:rPr>
                <w:rFonts w:ascii="Calibri" w:hAnsi="Calibri" w:cs="Tahoma"/>
                <w:sz w:val="22"/>
                <w:szCs w:val="22"/>
              </w:rPr>
              <w:fldChar w:fldCharType="begin">
                <w:ffData>
                  <w:name w:val="Text3"/>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r w:rsidRPr="00EB76A4">
              <w:rPr>
                <w:rFonts w:ascii="Calibri" w:hAnsi="Calibri" w:cs="Tahoma"/>
                <w:sz w:val="22"/>
                <w:szCs w:val="22"/>
              </w:rPr>
              <w:tab/>
            </w:r>
            <w:r w:rsidRPr="00EB76A4">
              <w:rPr>
                <w:rFonts w:ascii="Calibri" w:hAnsi="Calibri" w:cs="Tahoma"/>
                <w:sz w:val="22"/>
                <w:szCs w:val="22"/>
              </w:rPr>
              <w:sym w:font="Symbol" w:char="F0B8"/>
            </w:r>
            <w:r w:rsidRPr="00EB76A4">
              <w:rPr>
                <w:rFonts w:ascii="Calibri" w:hAnsi="Calibri" w:cs="Tahoma"/>
                <w:sz w:val="22"/>
                <w:szCs w:val="22"/>
              </w:rPr>
              <w:tab/>
              <w:t>$2,000</w:t>
            </w:r>
            <w:r w:rsidRPr="00EB76A4">
              <w:rPr>
                <w:rFonts w:ascii="Calibri" w:hAnsi="Calibri" w:cs="Tahoma"/>
                <w:sz w:val="22"/>
                <w:szCs w:val="22"/>
              </w:rPr>
              <w:tab/>
              <w:t>=</w:t>
            </w:r>
            <w:r w:rsidRPr="00EB76A4">
              <w:rPr>
                <w:rFonts w:ascii="Calibri" w:hAnsi="Calibri" w:cs="Tahoma"/>
                <w:sz w:val="22"/>
                <w:szCs w:val="22"/>
              </w:rPr>
              <w:tab/>
            </w:r>
            <w:r w:rsidRPr="00EB76A4">
              <w:rPr>
                <w:rFonts w:ascii="Calibri" w:hAnsi="Calibri" w:cs="Tahoma"/>
                <w:sz w:val="22"/>
                <w:szCs w:val="22"/>
              </w:rPr>
              <w:fldChar w:fldCharType="begin">
                <w:ffData>
                  <w:name w:val="Text4"/>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r w:rsidRPr="00EB76A4">
              <w:rPr>
                <w:rFonts w:ascii="Calibri" w:hAnsi="Calibri" w:cs="Tahoma"/>
                <w:sz w:val="22"/>
                <w:szCs w:val="22"/>
              </w:rPr>
              <w:tab/>
              <w:t>Points</w:t>
            </w:r>
          </w:p>
          <w:p w:rsidR="005A5A09" w:rsidRPr="00EB76A4" w:rsidRDefault="00395E2D" w:rsidP="00F865F2">
            <w:pPr>
              <w:widowControl w:val="0"/>
              <w:tabs>
                <w:tab w:val="right" w:pos="5190"/>
                <w:tab w:val="right" w:pos="5566"/>
                <w:tab w:val="right" w:pos="6270"/>
                <w:tab w:val="right" w:pos="6630"/>
                <w:tab w:val="right" w:pos="7980"/>
              </w:tabs>
              <w:rPr>
                <w:rFonts w:ascii="Calibri" w:hAnsi="Calibri" w:cs="Tahoma"/>
                <w:sz w:val="22"/>
                <w:szCs w:val="22"/>
              </w:rPr>
            </w:pPr>
            <w:r w:rsidRPr="00EB76A4">
              <w:rPr>
                <w:rFonts w:ascii="Calibri" w:hAnsi="Calibri" w:cs="Tahoma"/>
                <w:noProof/>
                <w:sz w:val="22"/>
                <w:szCs w:val="22"/>
              </w:rPr>
              <mc:AlternateContent>
                <mc:Choice Requires="wps">
                  <w:drawing>
                    <wp:anchor distT="0" distB="0" distL="114300" distR="114300" simplePos="0" relativeHeight="251660800" behindDoc="0" locked="0" layoutInCell="1" allowOverlap="1">
                      <wp:simplePos x="0" y="0"/>
                      <wp:positionH relativeFrom="column">
                        <wp:posOffset>4436110</wp:posOffset>
                      </wp:positionH>
                      <wp:positionV relativeFrom="paragraph">
                        <wp:posOffset>26670</wp:posOffset>
                      </wp:positionV>
                      <wp:extent cx="558165" cy="0"/>
                      <wp:effectExtent l="6985" t="11430" r="6350" b="7620"/>
                      <wp:wrapNone/>
                      <wp:docPr id="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9A247E" id="AutoShape 38" o:spid="_x0000_s1026" type="#_x0000_t32" style="position:absolute;margin-left:349.3pt;margin-top:2.1pt;width:43.9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"/>
                  </w:pict>
                </mc:Fallback>
              </mc:AlternateContent>
            </w:r>
            <w:r w:rsidRPr="00EB76A4">
              <w:rPr>
                <w:rFonts w:ascii="Calibri" w:hAnsi="Calibri" w:cs="Tahoma"/>
                <w:noProof/>
                <w:sz w:val="22"/>
                <w:szCs w:val="22"/>
              </w:rPr>
              <mc:AlternateContent>
                <mc:Choice Requires="wps">
                  <w:drawing>
                    <wp:anchor distT="0" distB="0" distL="114300" distR="114300" simplePos="0" relativeHeight="251659776" behindDoc="0" locked="0" layoutInCell="1" allowOverlap="1">
                      <wp:simplePos x="0" y="0"/>
                      <wp:positionH relativeFrom="column">
                        <wp:posOffset>2498725</wp:posOffset>
                      </wp:positionH>
                      <wp:positionV relativeFrom="paragraph">
                        <wp:posOffset>26670</wp:posOffset>
                      </wp:positionV>
                      <wp:extent cx="833755" cy="0"/>
                      <wp:effectExtent l="12700" t="11430" r="10795" b="7620"/>
                      <wp:wrapNone/>
                      <wp:docPr id="4"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3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D16EB7" id="AutoShape 37" o:spid="_x0000_s1026" type="#_x0000_t32" style="position:absolute;margin-left:196.75pt;margin-top:2.1pt;width:65.6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0sHg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"/>
                  </w:pict>
                </mc:Fallback>
              </mc:AlternateConten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r w:rsidRPr="00EB76A4">
              <w:rPr>
                <w:rFonts w:ascii="Calibri" w:hAnsi="Calibri" w:cs="Tahoma"/>
                <w:sz w:val="22"/>
                <w:szCs w:val="22"/>
              </w:rPr>
              <w:t>(25 Points Maximum)</w: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p>
        </w:tc>
      </w:tr>
      <w:tr w:rsidR="005A5A09" w:rsidRPr="00EB76A4" w:rsidTr="00F865F2">
        <w:trPr>
          <w:cantSplit/>
          <w:trHeight w:val="1582"/>
        </w:trPr>
        <w:tc>
          <w:tcPr>
            <w:tcW w:w="12240" w:type="dxa"/>
          </w:tcPr>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b/>
                <w:color w:val="C00000"/>
                <w:sz w:val="22"/>
                <w:szCs w:val="22"/>
              </w:rPr>
            </w:pPr>
            <w:r w:rsidRPr="00EB76A4">
              <w:rPr>
                <w:rFonts w:ascii="Calibri" w:hAnsi="Calibri" w:cs="Tahoma"/>
                <w:b/>
                <w:color w:val="C00000"/>
                <w:sz w:val="22"/>
                <w:szCs w:val="22"/>
              </w:rPr>
              <w:t>Leverage Points Calculation for ED</w: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p>
          <w:p w:rsidR="005A5A09" w:rsidRPr="00EB76A4" w:rsidRDefault="005A5A09" w:rsidP="00F865F2">
            <w:pPr>
              <w:widowControl w:val="0"/>
              <w:tabs>
                <w:tab w:val="center" w:pos="4560"/>
                <w:tab w:val="right" w:pos="5566"/>
                <w:tab w:val="right" w:pos="6360"/>
                <w:tab w:val="right" w:pos="6630"/>
                <w:tab w:val="center" w:pos="7440"/>
                <w:tab w:val="left" w:pos="7890"/>
              </w:tabs>
              <w:rPr>
                <w:rFonts w:ascii="Calibri" w:hAnsi="Calibri" w:cs="Tahoma"/>
                <w:sz w:val="22"/>
                <w:szCs w:val="22"/>
              </w:rPr>
            </w:pPr>
            <w:r w:rsidRPr="00EB76A4">
              <w:rPr>
                <w:rFonts w:ascii="Calibri" w:hAnsi="Calibri" w:cs="Tahoma"/>
                <w:sz w:val="22"/>
                <w:szCs w:val="22"/>
              </w:rPr>
              <w:tab/>
              <w:t>$</w:t>
            </w:r>
            <w:bookmarkStart w:id="4" w:name="Text11"/>
            <w:r w:rsidRPr="00EB76A4">
              <w:rPr>
                <w:rFonts w:ascii="Calibri" w:hAnsi="Calibri" w:cs="Tahoma"/>
                <w:sz w:val="22"/>
                <w:szCs w:val="22"/>
              </w:rPr>
              <w:fldChar w:fldCharType="begin">
                <w:ffData>
                  <w:name w:val="Text1"/>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bookmarkEnd w:id="4"/>
            <w:r w:rsidRPr="00EB76A4">
              <w:rPr>
                <w:rFonts w:ascii="Calibri" w:hAnsi="Calibri" w:cs="Tahoma"/>
                <w:sz w:val="22"/>
                <w:szCs w:val="22"/>
              </w:rPr>
              <w:tab/>
            </w:r>
            <w:r w:rsidRPr="00EB76A4">
              <w:rPr>
                <w:rFonts w:ascii="Calibri" w:hAnsi="Calibri" w:cs="Tahoma"/>
                <w:sz w:val="22"/>
                <w:szCs w:val="22"/>
              </w:rPr>
              <w:sym w:font="Symbol" w:char="F0B8"/>
            </w:r>
            <w:r w:rsidRPr="00EB76A4">
              <w:rPr>
                <w:rFonts w:ascii="Calibri" w:hAnsi="Calibri" w:cs="Tahoma"/>
                <w:sz w:val="22"/>
                <w:szCs w:val="22"/>
              </w:rPr>
              <w:tab/>
              <w:t>$10,000</w:t>
            </w:r>
            <w:r w:rsidRPr="00EB76A4">
              <w:rPr>
                <w:rFonts w:ascii="Calibri" w:hAnsi="Calibri" w:cs="Tahoma"/>
                <w:sz w:val="22"/>
                <w:szCs w:val="22"/>
              </w:rPr>
              <w:tab/>
              <w:t>=</w:t>
            </w:r>
            <w:r w:rsidRPr="00EB76A4">
              <w:rPr>
                <w:rFonts w:ascii="Calibri" w:hAnsi="Calibri" w:cs="Tahoma"/>
                <w:sz w:val="22"/>
                <w:szCs w:val="22"/>
              </w:rPr>
              <w:tab/>
            </w:r>
            <w:bookmarkStart w:id="5" w:name="Text21"/>
            <w:r w:rsidRPr="00EB76A4">
              <w:rPr>
                <w:rFonts w:ascii="Calibri" w:hAnsi="Calibri" w:cs="Tahoma"/>
                <w:sz w:val="22"/>
                <w:szCs w:val="22"/>
              </w:rPr>
              <w:fldChar w:fldCharType="begin">
                <w:ffData>
                  <w:name w:val="Text2"/>
                  <w:enabled/>
                  <w:calcOnExit w:val="0"/>
                  <w:textInput/>
                </w:ffData>
              </w:fldChar>
            </w:r>
            <w:r w:rsidRPr="00EB76A4">
              <w:rPr>
                <w:rFonts w:ascii="Calibri" w:hAnsi="Calibri" w:cs="Tahoma"/>
                <w:sz w:val="22"/>
                <w:szCs w:val="22"/>
              </w:rPr>
              <w:instrText xml:space="preserve"> FORMTEXT </w:instrText>
            </w:r>
            <w:r w:rsidRPr="00EB76A4">
              <w:rPr>
                <w:rFonts w:ascii="Calibri" w:hAnsi="Calibri" w:cs="Tahoma"/>
                <w:sz w:val="22"/>
                <w:szCs w:val="22"/>
              </w:rPr>
            </w:r>
            <w:r w:rsidRPr="00EB76A4">
              <w:rPr>
                <w:rFonts w:ascii="Calibri" w:hAnsi="Calibri" w:cs="Tahoma"/>
                <w:sz w:val="22"/>
                <w:szCs w:val="22"/>
              </w:rPr>
              <w:fldChar w:fldCharType="separate"/>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noProof/>
                <w:sz w:val="22"/>
                <w:szCs w:val="22"/>
              </w:rPr>
              <w:t> </w:t>
            </w:r>
            <w:r w:rsidRPr="00EB76A4">
              <w:rPr>
                <w:rFonts w:ascii="Calibri" w:hAnsi="Calibri" w:cs="Tahoma"/>
                <w:sz w:val="22"/>
                <w:szCs w:val="22"/>
              </w:rPr>
              <w:fldChar w:fldCharType="end"/>
            </w:r>
            <w:bookmarkEnd w:id="5"/>
            <w:r w:rsidRPr="00EB76A4">
              <w:rPr>
                <w:rFonts w:ascii="Calibri" w:hAnsi="Calibri" w:cs="Tahoma"/>
                <w:sz w:val="22"/>
                <w:szCs w:val="22"/>
              </w:rPr>
              <w:tab/>
              <w:t xml:space="preserve">Points </w:t>
            </w:r>
          </w:p>
          <w:p w:rsidR="005A5A09" w:rsidRPr="00EB76A4" w:rsidRDefault="00395E2D" w:rsidP="00F865F2">
            <w:pPr>
              <w:widowControl w:val="0"/>
              <w:tabs>
                <w:tab w:val="right" w:pos="5190"/>
                <w:tab w:val="right" w:pos="5566"/>
                <w:tab w:val="right" w:pos="6180"/>
                <w:tab w:val="right" w:pos="6540"/>
                <w:tab w:val="right" w:pos="7440"/>
              </w:tabs>
              <w:jc w:val="center"/>
              <w:rPr>
                <w:rFonts w:ascii="Calibri" w:hAnsi="Calibri" w:cs="Tahoma"/>
                <w:sz w:val="22"/>
                <w:szCs w:val="22"/>
              </w:rPr>
            </w:pPr>
            <w:r w:rsidRPr="00EB76A4">
              <w:rPr>
                <w:rFonts w:ascii="Calibri" w:hAnsi="Calibri" w:cs="Tahoma"/>
                <w:noProof/>
                <w:sz w:val="22"/>
                <w:szCs w:val="22"/>
              </w:rPr>
              <mc:AlternateContent>
                <mc:Choice Requires="wps">
                  <w:drawing>
                    <wp:anchor distT="0" distB="0" distL="114300" distR="114300" simplePos="0" relativeHeight="251655680" behindDoc="0" locked="0" layoutInCell="1" allowOverlap="1">
                      <wp:simplePos x="0" y="0"/>
                      <wp:positionH relativeFrom="column">
                        <wp:posOffset>4436110</wp:posOffset>
                      </wp:positionH>
                      <wp:positionV relativeFrom="paragraph">
                        <wp:posOffset>15240</wp:posOffset>
                      </wp:positionV>
                      <wp:extent cx="558165" cy="0"/>
                      <wp:effectExtent l="6985" t="7620" r="6350" b="11430"/>
                      <wp:wrapNone/>
                      <wp:docPr id="3"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B3156A" id="AutoShape 33" o:spid="_x0000_s1026" type="#_x0000_t32" style="position:absolute;margin-left:349.3pt;margin-top:1.2pt;width:43.9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"/>
                  </w:pict>
                </mc:Fallback>
              </mc:AlternateContent>
            </w:r>
            <w:r w:rsidRPr="00EB76A4">
              <w:rPr>
                <w:rFonts w:ascii="Calibri" w:hAnsi="Calibri" w:cs="Tahoma"/>
                <w:noProof/>
                <w:sz w:val="22"/>
                <w:szCs w:val="22"/>
              </w:rPr>
              <mc:AlternateContent>
                <mc:Choice Requires="wps">
                  <w:drawing>
                    <wp:anchor distT="0" distB="0" distL="114300" distR="114300" simplePos="0" relativeHeight="251654656" behindDoc="0" locked="0" layoutInCell="1" allowOverlap="1">
                      <wp:simplePos x="0" y="0"/>
                      <wp:positionH relativeFrom="column">
                        <wp:posOffset>2498725</wp:posOffset>
                      </wp:positionH>
                      <wp:positionV relativeFrom="paragraph">
                        <wp:posOffset>14605</wp:posOffset>
                      </wp:positionV>
                      <wp:extent cx="901065" cy="0"/>
                      <wp:effectExtent l="12700" t="6985" r="10160" b="12065"/>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EB4298" id="AutoShape 32" o:spid="_x0000_s1026" type="#_x0000_t32" style="position:absolute;margin-left:196.75pt;margin-top:1.15pt;width:70.95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dFCHQIAADs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"/>
                  </w:pict>
                </mc:Fallback>
              </mc:AlternateContent>
            </w:r>
          </w:p>
          <w:p w:rsidR="005A5A09" w:rsidRPr="00EB76A4" w:rsidRDefault="005A5A09" w:rsidP="00F865F2">
            <w:pPr>
              <w:widowControl w:val="0"/>
              <w:tabs>
                <w:tab w:val="right" w:pos="5190"/>
                <w:tab w:val="right" w:pos="5566"/>
                <w:tab w:val="right" w:pos="6180"/>
                <w:tab w:val="right" w:pos="6540"/>
                <w:tab w:val="right" w:pos="7440"/>
              </w:tabs>
              <w:jc w:val="center"/>
              <w:rPr>
                <w:rFonts w:ascii="Calibri" w:hAnsi="Calibri" w:cs="Tahoma"/>
                <w:sz w:val="22"/>
                <w:szCs w:val="22"/>
              </w:rPr>
            </w:pPr>
            <w:r w:rsidRPr="00EB76A4">
              <w:rPr>
                <w:rFonts w:ascii="Calibri" w:hAnsi="Calibri" w:cs="Tahoma"/>
                <w:sz w:val="22"/>
                <w:szCs w:val="22"/>
              </w:rPr>
              <w:t>(125 Points Maximum)</w:t>
            </w:r>
          </w:p>
          <w:p w:rsidR="005A5A09" w:rsidRPr="00EB76A4" w:rsidRDefault="005A5A09" w:rsidP="00F865F2">
            <w:pPr>
              <w:widowControl w:val="0"/>
              <w:tabs>
                <w:tab w:val="right" w:pos="5190"/>
                <w:tab w:val="right" w:pos="5566"/>
                <w:tab w:val="right" w:pos="6180"/>
                <w:tab w:val="right" w:pos="6540"/>
                <w:tab w:val="right" w:pos="7440"/>
              </w:tabs>
              <w:rPr>
                <w:rFonts w:ascii="Calibri" w:hAnsi="Calibri" w:cs="Tahoma"/>
                <w:sz w:val="22"/>
                <w:szCs w:val="22"/>
              </w:rPr>
            </w:pPr>
          </w:p>
        </w:tc>
      </w:tr>
    </w:tbl>
    <w:p w:rsidR="005A5A09" w:rsidRPr="00EB76A4" w:rsidRDefault="005A5A09" w:rsidP="005A5A09">
      <w:pPr>
        <w:widowControl w:val="0"/>
        <w:rPr>
          <w:rFonts w:ascii="Tahoma" w:hAnsi="Tahoma" w:cs="Tahoma"/>
          <w:bCs/>
          <w:vanish/>
          <w:sz w:val="20"/>
        </w:rPr>
      </w:pPr>
    </w:p>
    <w:p w:rsidR="005A5A09" w:rsidRPr="00EB76A4" w:rsidRDefault="005A5A09" w:rsidP="005A5A09">
      <w:pPr>
        <w:widowControl w:val="0"/>
        <w:rPr>
          <w:rFonts w:ascii="Tahoma" w:hAnsi="Tahoma" w:cs="Tahoma"/>
          <w:bCs/>
          <w:sz w:val="20"/>
          <w:szCs w:val="22"/>
        </w:rPr>
      </w:pPr>
    </w:p>
    <w:p w:rsidR="005A5A09" w:rsidRPr="00EB76A4" w:rsidRDefault="005A5A09" w:rsidP="005A5A09">
      <w:pPr>
        <w:widowControl w:val="0"/>
        <w:rPr>
          <w:rFonts w:ascii="Tahoma" w:hAnsi="Tahoma" w:cs="Tahoma"/>
          <w:sz w:val="20"/>
          <w:szCs w:val="20"/>
        </w:rPr>
      </w:pPr>
    </w:p>
    <w:p w:rsidR="005A5A09" w:rsidRPr="00EB76A4" w:rsidRDefault="005A5A09" w:rsidP="005A5A09">
      <w:pPr>
        <w:widowControl w:val="0"/>
        <w:tabs>
          <w:tab w:val="left" w:pos="7740"/>
          <w:tab w:val="right" w:pos="11250"/>
          <w:tab w:val="left" w:pos="11520"/>
        </w:tabs>
        <w:spacing w:line="280" w:lineRule="atLeast"/>
        <w:rPr>
          <w:rFonts w:ascii="Calibri" w:hAnsi="Calibri" w:cs="Tahoma"/>
          <w:b/>
          <w:bCs/>
          <w:color w:val="C00000"/>
        </w:rPr>
      </w:pPr>
      <w:r w:rsidRPr="00EB76A4">
        <w:rPr>
          <w:rFonts w:ascii="Tahoma" w:hAnsi="Tahoma" w:cs="Tahoma"/>
          <w:bCs/>
        </w:rPr>
        <w:tab/>
      </w:r>
      <w:r w:rsidRPr="00EB76A4">
        <w:rPr>
          <w:rFonts w:ascii="Tahoma" w:hAnsi="Tahoma" w:cs="Tahoma"/>
          <w:b/>
          <w:bCs/>
        </w:rPr>
        <w:tab/>
      </w:r>
      <w:r w:rsidRPr="00EB76A4">
        <w:rPr>
          <w:rFonts w:ascii="Calibri" w:hAnsi="Calibri" w:cs="Tahoma"/>
          <w:b/>
          <w:bCs/>
          <w:color w:val="C00000"/>
        </w:rPr>
        <w:t>Leverage Score:</w:t>
      </w:r>
      <w:bookmarkStart w:id="6" w:name="Text61"/>
      <w:r w:rsidRPr="00EB76A4">
        <w:rPr>
          <w:rFonts w:ascii="Calibri" w:hAnsi="Calibri" w:cs="Tahoma"/>
          <w:b/>
          <w:bCs/>
          <w:color w:val="C00000"/>
        </w:rPr>
        <w:tab/>
      </w:r>
      <w:r w:rsidRPr="00EB76A4">
        <w:rPr>
          <w:rFonts w:ascii="Calibri" w:hAnsi="Calibri" w:cs="Tahoma"/>
          <w:b/>
          <w:bCs/>
          <w:color w:val="C00000"/>
        </w:rPr>
        <w:fldChar w:fldCharType="begin">
          <w:ffData>
            <w:name w:val="Text6"/>
            <w:enabled/>
            <w:calcOnExit w:val="0"/>
            <w:textInput/>
          </w:ffData>
        </w:fldChar>
      </w:r>
      <w:r w:rsidRPr="00EB76A4">
        <w:rPr>
          <w:rFonts w:ascii="Calibri" w:hAnsi="Calibri" w:cs="Tahoma"/>
          <w:b/>
          <w:bCs/>
          <w:color w:val="C00000"/>
        </w:rPr>
        <w:instrText xml:space="preserve"> FORMTEXT </w:instrText>
      </w:r>
      <w:r w:rsidRPr="00EB76A4">
        <w:rPr>
          <w:rFonts w:ascii="Calibri" w:hAnsi="Calibri" w:cs="Tahoma"/>
          <w:b/>
          <w:bCs/>
          <w:color w:val="C00000"/>
        </w:rPr>
      </w:r>
      <w:r w:rsidRPr="00EB76A4">
        <w:rPr>
          <w:rFonts w:ascii="Calibri" w:hAnsi="Calibri" w:cs="Tahoma"/>
          <w:b/>
          <w:bCs/>
          <w:color w:val="C00000"/>
        </w:rPr>
        <w:fldChar w:fldCharType="separate"/>
      </w:r>
      <w:r w:rsidRPr="00EB76A4">
        <w:rPr>
          <w:rFonts w:ascii="Calibri" w:hAnsi="Calibri" w:cs="Tahoma"/>
          <w:b/>
          <w:bCs/>
          <w:noProof/>
          <w:color w:val="C00000"/>
        </w:rPr>
        <w:t> </w:t>
      </w:r>
      <w:r w:rsidRPr="00EB76A4">
        <w:rPr>
          <w:rFonts w:ascii="Calibri" w:hAnsi="Calibri" w:cs="Tahoma"/>
          <w:b/>
          <w:bCs/>
          <w:noProof/>
          <w:color w:val="C00000"/>
        </w:rPr>
        <w:t> </w:t>
      </w:r>
      <w:r w:rsidRPr="00EB76A4">
        <w:rPr>
          <w:rFonts w:ascii="Calibri" w:hAnsi="Calibri" w:cs="Tahoma"/>
          <w:b/>
          <w:bCs/>
          <w:noProof/>
          <w:color w:val="C00000"/>
        </w:rPr>
        <w:t> </w:t>
      </w:r>
      <w:r w:rsidRPr="00EB76A4">
        <w:rPr>
          <w:rFonts w:ascii="Calibri" w:hAnsi="Calibri" w:cs="Tahoma"/>
          <w:b/>
          <w:bCs/>
          <w:noProof/>
          <w:color w:val="C00000"/>
        </w:rPr>
        <w:t> </w:t>
      </w:r>
      <w:r w:rsidRPr="00EB76A4">
        <w:rPr>
          <w:rFonts w:ascii="Calibri" w:hAnsi="Calibri" w:cs="Tahoma"/>
          <w:b/>
          <w:bCs/>
          <w:noProof/>
          <w:color w:val="C00000"/>
        </w:rPr>
        <w:t> </w:t>
      </w:r>
      <w:r w:rsidRPr="00EB76A4">
        <w:rPr>
          <w:rFonts w:ascii="Calibri" w:hAnsi="Calibri" w:cs="Tahoma"/>
          <w:b/>
          <w:bCs/>
          <w:color w:val="C00000"/>
        </w:rPr>
        <w:fldChar w:fldCharType="end"/>
      </w:r>
      <w:bookmarkEnd w:id="6"/>
      <w:r w:rsidRPr="00EB76A4">
        <w:rPr>
          <w:rFonts w:ascii="Calibri" w:hAnsi="Calibri" w:cs="Tahoma"/>
          <w:b/>
          <w:bCs/>
          <w:color w:val="C00000"/>
        </w:rPr>
        <w:t xml:space="preserve"> </w:t>
      </w:r>
    </w:p>
    <w:p w:rsidR="005A5A09" w:rsidRPr="00EB76A4" w:rsidRDefault="00395E2D" w:rsidP="005A5A09">
      <w:pPr>
        <w:spacing w:before="120"/>
        <w:jc w:val="right"/>
        <w:rPr>
          <w:rFonts w:ascii="Calibri" w:hAnsi="Calibri" w:cs="Tahoma"/>
          <w:b/>
          <w:bCs/>
          <w:color w:val="C00000"/>
          <w:sz w:val="22"/>
          <w:szCs w:val="22"/>
        </w:rPr>
      </w:pPr>
      <w:r w:rsidRPr="00EB76A4">
        <w:rPr>
          <w:rFonts w:ascii="Calibri" w:hAnsi="Calibri" w:cs="Tahoma"/>
          <w:b/>
          <w:bCs/>
          <w:noProof/>
          <w:color w:val="C00000"/>
          <w:sz w:val="22"/>
          <w:szCs w:val="22"/>
        </w:rPr>
        <mc:AlternateContent>
          <mc:Choice Requires="wps">
            <w:drawing>
              <wp:anchor distT="0" distB="0" distL="114300" distR="114300" simplePos="0" relativeHeight="251658752" behindDoc="0" locked="0" layoutInCell="1" allowOverlap="1">
                <wp:simplePos x="0" y="0"/>
                <wp:positionH relativeFrom="column">
                  <wp:posOffset>7280910</wp:posOffset>
                </wp:positionH>
                <wp:positionV relativeFrom="paragraph">
                  <wp:posOffset>17780</wp:posOffset>
                </wp:positionV>
                <wp:extent cx="872490" cy="635"/>
                <wp:effectExtent l="13335" t="10795" r="9525" b="7620"/>
                <wp:wrapNone/>
                <wp:docPr id="1"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24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70A231" id="AutoShape 36" o:spid="_x0000_s1026" type="#_x0000_t32" style="position:absolute;margin-left:573.3pt;margin-top:1.4pt;width:68.7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"/>
            </w:pict>
          </mc:Fallback>
        </mc:AlternateContent>
      </w:r>
      <w:r w:rsidR="005A5A09" w:rsidRPr="00EB76A4">
        <w:rPr>
          <w:rFonts w:ascii="Calibri" w:hAnsi="Calibri" w:cs="Tahoma"/>
          <w:b/>
          <w:bCs/>
          <w:color w:val="C00000"/>
          <w:sz w:val="22"/>
          <w:szCs w:val="22"/>
        </w:rPr>
        <w:t xml:space="preserve">(Transfer this score to line 3d. on the Application Scoring Summary page in Part 8.  </w:t>
      </w:r>
    </w:p>
    <w:p w:rsidR="005A5A09" w:rsidRPr="00EB76A4" w:rsidRDefault="005A5A09" w:rsidP="005A5A09">
      <w:pPr>
        <w:jc w:val="right"/>
        <w:rPr>
          <w:rFonts w:ascii="Calibri" w:hAnsi="Calibri" w:cs="Tahoma"/>
          <w:b/>
          <w:bCs/>
          <w:sz w:val="22"/>
          <w:szCs w:val="22"/>
        </w:rPr>
      </w:pPr>
      <w:r w:rsidRPr="00EB76A4">
        <w:rPr>
          <w:rFonts w:ascii="Calibri" w:hAnsi="Calibri" w:cs="Tahoma"/>
          <w:b/>
          <w:bCs/>
          <w:color w:val="C00000"/>
          <w:sz w:val="22"/>
          <w:szCs w:val="22"/>
        </w:rPr>
        <w:t>25 Points Maximum for NR, HR, and CR.  125 Points Maximum for ED.)</w:t>
      </w:r>
    </w:p>
    <w:p w:rsidR="005A5A09" w:rsidRPr="00EB76A4" w:rsidRDefault="005A5A09" w:rsidP="005A5A09">
      <w:pPr>
        <w:spacing w:after="120"/>
        <w:jc w:val="right"/>
        <w:rPr>
          <w:rFonts w:ascii="Tahoma" w:hAnsi="Tahoma" w:cs="Tahoma"/>
          <w:b/>
          <w:bCs/>
        </w:rPr>
      </w:pPr>
      <w:r w:rsidRPr="00EB76A4">
        <w:rPr>
          <w:rFonts w:ascii="Tahoma" w:hAnsi="Tahoma" w:cs="Tahoma"/>
          <w:b/>
          <w:bCs/>
        </w:rPr>
        <w:br w:type="page"/>
      </w:r>
    </w:p>
    <w:p w:rsidR="005A5A09" w:rsidRDefault="005A5A09" w:rsidP="005A5A09">
      <w:pPr>
        <w:widowControl w:val="0"/>
        <w:jc w:val="center"/>
        <w:rPr>
          <w:rFonts w:ascii="Calibri" w:hAnsi="Calibri" w:cs="Tahoma"/>
          <w:b/>
          <w:sz w:val="40"/>
          <w:szCs w:val="40"/>
        </w:rPr>
      </w:pPr>
    </w:p>
    <w:p w:rsidR="005A5A09" w:rsidRDefault="005A5A09" w:rsidP="005A5A09">
      <w:pPr>
        <w:widowControl w:val="0"/>
        <w:jc w:val="center"/>
        <w:rPr>
          <w:rFonts w:ascii="Calibri" w:hAnsi="Calibri" w:cs="Tahoma"/>
          <w:b/>
          <w:sz w:val="40"/>
          <w:szCs w:val="40"/>
        </w:rPr>
      </w:pPr>
    </w:p>
    <w:p w:rsidR="005A5A09" w:rsidRPr="00EB76A4" w:rsidRDefault="005A5A09" w:rsidP="005A5A09">
      <w:pPr>
        <w:widowControl w:val="0"/>
        <w:jc w:val="center"/>
        <w:rPr>
          <w:rFonts w:ascii="Calibri" w:hAnsi="Calibri" w:cs="Tahoma"/>
          <w:b/>
          <w:sz w:val="40"/>
          <w:szCs w:val="40"/>
        </w:rPr>
      </w:pPr>
      <w:r w:rsidRPr="00EB76A4">
        <w:rPr>
          <w:rFonts w:ascii="Calibri" w:hAnsi="Calibri" w:cs="Tahoma"/>
          <w:b/>
          <w:sz w:val="40"/>
          <w:szCs w:val="40"/>
        </w:rPr>
        <w:t>Part 3 – Sources and Uses of Non-CDBG Funds</w:t>
      </w:r>
    </w:p>
    <w:p w:rsidR="005A5A09" w:rsidRPr="00EB76A4" w:rsidRDefault="005A5A09" w:rsidP="005A5A09">
      <w:pPr>
        <w:widowControl w:val="0"/>
        <w:jc w:val="center"/>
        <w:rPr>
          <w:rFonts w:ascii="Calibri" w:hAnsi="Calibri" w:cs="Tahoma"/>
          <w:b/>
          <w:sz w:val="40"/>
          <w:szCs w:val="40"/>
        </w:rPr>
      </w:pPr>
    </w:p>
    <w:p w:rsidR="005A5A09" w:rsidRPr="00EB76A4" w:rsidRDefault="005A5A09" w:rsidP="005A5A09">
      <w:pPr>
        <w:widowControl w:val="0"/>
        <w:jc w:val="center"/>
        <w:rPr>
          <w:rFonts w:ascii="Calibri" w:hAnsi="Calibri" w:cs="Tahoma"/>
          <w:b/>
          <w:sz w:val="40"/>
          <w:szCs w:val="40"/>
        </w:rPr>
      </w:pPr>
      <w:r w:rsidRPr="00EB76A4">
        <w:rPr>
          <w:rFonts w:ascii="Calibri" w:hAnsi="Calibri" w:cs="Tahoma"/>
          <w:b/>
          <w:sz w:val="40"/>
          <w:szCs w:val="40"/>
        </w:rPr>
        <w:t>Instructions</w:t>
      </w:r>
    </w:p>
    <w:p w:rsidR="005A5A09" w:rsidRPr="00EB76A4" w:rsidRDefault="005A5A09" w:rsidP="005A5A09">
      <w:pPr>
        <w:widowControl w:val="0"/>
        <w:rPr>
          <w:rFonts w:ascii="Calibri" w:hAnsi="Calibri" w:cs="Calibri"/>
          <w:b/>
          <w:bCs/>
          <w:sz w:val="22"/>
          <w:szCs w:val="22"/>
        </w:rPr>
      </w:pPr>
      <w:r w:rsidRPr="00BC2EDE">
        <w:rPr>
          <w:rFonts w:ascii="Calibri" w:hAnsi="Calibri" w:cs="Tahoma"/>
          <w:b/>
        </w:rPr>
        <w:br w:type="page"/>
      </w:r>
      <w:r w:rsidRPr="00EB76A4">
        <w:rPr>
          <w:rFonts w:ascii="Calibri" w:hAnsi="Calibri" w:cs="Calibri"/>
          <w:b/>
          <w:bCs/>
          <w:sz w:val="22"/>
          <w:szCs w:val="22"/>
        </w:rPr>
        <w:t>Leverage</w:t>
      </w:r>
    </w:p>
    <w:p w:rsidR="005A5A09" w:rsidRPr="00EB76A4" w:rsidRDefault="005A5A09" w:rsidP="005A5A09">
      <w:pPr>
        <w:widowControl w:val="0"/>
        <w:rPr>
          <w:rFonts w:ascii="Calibri" w:hAnsi="Calibri" w:cs="Calibri"/>
          <w:sz w:val="22"/>
          <w:szCs w:val="22"/>
        </w:rPr>
      </w:pPr>
      <w:r w:rsidRPr="00EB76A4">
        <w:rPr>
          <w:rFonts w:ascii="Calibri" w:hAnsi="Calibri" w:cs="Calibri"/>
          <w:sz w:val="22"/>
          <w:szCs w:val="22"/>
        </w:rPr>
        <w:t xml:space="preserve">Leverage includes local government funds, grants and loans to the local government, funds expended by other entities for the project, including a Participating Party in an Economic Development project, fee waivers, or land required for the project which is donated by the local government or any other entity or private individual (i.e., an easement).  Funds expended incidentally in a service area by other entities, on activities which the local government is not legally responsible for, and which would occur regardless of the CDBG activity (such as FDOT paving of a state highway), may not be claimed for leverage. </w:t>
      </w:r>
    </w:p>
    <w:p w:rsidR="005A5A09" w:rsidRPr="00EB76A4" w:rsidRDefault="005A5A09" w:rsidP="005A5A09">
      <w:pPr>
        <w:widowControl w:val="0"/>
        <w:rPr>
          <w:rFonts w:ascii="Calibri" w:hAnsi="Calibri" w:cs="Calibri"/>
          <w:sz w:val="22"/>
          <w:szCs w:val="22"/>
        </w:rPr>
      </w:pPr>
    </w:p>
    <w:p w:rsidR="005A5A09" w:rsidRPr="00EB76A4" w:rsidRDefault="005A5A09" w:rsidP="005A5A09">
      <w:pPr>
        <w:widowControl w:val="0"/>
        <w:rPr>
          <w:rFonts w:ascii="Calibri" w:hAnsi="Calibri" w:cs="Calibri"/>
          <w:sz w:val="22"/>
          <w:szCs w:val="22"/>
        </w:rPr>
      </w:pPr>
      <w:r w:rsidRPr="00EB76A4">
        <w:rPr>
          <w:rFonts w:ascii="Calibri" w:hAnsi="Calibri" w:cs="Calibri"/>
          <w:sz w:val="22"/>
          <w:szCs w:val="22"/>
        </w:rPr>
        <w:t xml:space="preserve">Points can be claimed for documented leveraged funds that were committed to the project by resolution or vote of the local governing body prior to the application deadline.  A copy of the resolution or certified meeting minutes must be included with the application (Appendix E) that reflects the commitment.  List by activity all leverage funding; indicate the source and amount of funds that will be claimed for scoring.  </w:t>
      </w:r>
    </w:p>
    <w:p w:rsidR="005A5A09" w:rsidRPr="00EB76A4" w:rsidRDefault="005A5A09" w:rsidP="005A5A09">
      <w:pPr>
        <w:widowControl w:val="0"/>
        <w:rPr>
          <w:rFonts w:ascii="Calibri" w:hAnsi="Calibri" w:cs="Calibri"/>
          <w:sz w:val="22"/>
          <w:szCs w:val="22"/>
        </w:rPr>
      </w:pPr>
    </w:p>
    <w:p w:rsidR="005A5A09" w:rsidRPr="00EB76A4" w:rsidRDefault="005A5A09" w:rsidP="005A5A09">
      <w:pPr>
        <w:widowControl w:val="0"/>
        <w:rPr>
          <w:rFonts w:ascii="Calibri" w:hAnsi="Calibri" w:cs="Calibri"/>
          <w:sz w:val="22"/>
          <w:szCs w:val="22"/>
        </w:rPr>
      </w:pPr>
      <w:r w:rsidRPr="00EB76A4">
        <w:rPr>
          <w:rFonts w:ascii="Calibri" w:hAnsi="Calibri" w:cs="Calibri"/>
          <w:sz w:val="22"/>
          <w:szCs w:val="22"/>
        </w:rPr>
        <w:t>In addition to the resolution or certified minutes, documentation of leverage provided by non-local sources must be submitted to the Department with the application to qualify for points.</w:t>
      </w:r>
    </w:p>
    <w:p w:rsidR="005A5A09" w:rsidRPr="00EB76A4" w:rsidRDefault="005A5A09" w:rsidP="005A5A09">
      <w:pPr>
        <w:widowControl w:val="0"/>
        <w:rPr>
          <w:rFonts w:ascii="Calibri" w:hAnsi="Calibri" w:cs="Calibri"/>
          <w:sz w:val="22"/>
          <w:szCs w:val="22"/>
        </w:rPr>
      </w:pPr>
    </w:p>
    <w:p w:rsidR="005A5A09" w:rsidRPr="00EB76A4" w:rsidRDefault="005A5A09" w:rsidP="00C90E6B">
      <w:pPr>
        <w:widowControl w:val="0"/>
        <w:numPr>
          <w:ilvl w:val="0"/>
          <w:numId w:val="40"/>
        </w:numPr>
        <w:spacing w:after="120"/>
        <w:rPr>
          <w:rFonts w:ascii="Calibri" w:hAnsi="Calibri" w:cs="Calibri"/>
          <w:sz w:val="22"/>
          <w:szCs w:val="22"/>
        </w:rPr>
      </w:pPr>
      <w:r w:rsidRPr="00EB76A4">
        <w:rPr>
          <w:rFonts w:ascii="Calibri" w:hAnsi="Calibri" w:cs="Calibri"/>
          <w:sz w:val="22"/>
          <w:szCs w:val="22"/>
        </w:rPr>
        <w:t>For Commercial Revitalization, Housing Rehabilitation and Neighborhood Revitalization applications in communities with fewer than 1,250 LMI residents, claim one point for each $1,000 of non-CDBG funds contributed to the project as leverage.  (25 Points Maximum)</w:t>
      </w:r>
    </w:p>
    <w:p w:rsidR="005A5A09" w:rsidRPr="00EB76A4" w:rsidRDefault="005A5A09" w:rsidP="00C90E6B">
      <w:pPr>
        <w:widowControl w:val="0"/>
        <w:numPr>
          <w:ilvl w:val="0"/>
          <w:numId w:val="40"/>
        </w:numPr>
        <w:spacing w:after="120"/>
        <w:rPr>
          <w:rFonts w:ascii="Calibri" w:hAnsi="Calibri" w:cs="Calibri"/>
          <w:bCs/>
          <w:sz w:val="22"/>
          <w:szCs w:val="22"/>
        </w:rPr>
      </w:pPr>
      <w:r w:rsidRPr="00EB76A4">
        <w:rPr>
          <w:rFonts w:ascii="Calibri" w:hAnsi="Calibri" w:cs="Calibri"/>
          <w:bCs/>
          <w:sz w:val="22"/>
          <w:szCs w:val="22"/>
        </w:rPr>
        <w:t xml:space="preserve">For Commercial Revitalization, Housing Rehabilitation and Neighborhood Revitalization applications </w:t>
      </w:r>
      <w:r w:rsidRPr="00EB76A4">
        <w:rPr>
          <w:rFonts w:ascii="Calibri" w:hAnsi="Calibri" w:cs="Calibri"/>
          <w:sz w:val="22"/>
          <w:szCs w:val="22"/>
        </w:rPr>
        <w:t>in communities with 1,250 LMI residents or more</w:t>
      </w:r>
      <w:r w:rsidRPr="00EB76A4">
        <w:rPr>
          <w:rFonts w:ascii="Calibri" w:hAnsi="Calibri" w:cs="Calibri"/>
          <w:bCs/>
          <w:sz w:val="22"/>
          <w:szCs w:val="22"/>
        </w:rPr>
        <w:t>, claim one point for each $2,000 of non-CDBG funds contributed to the project as leverage.  (25 Points Maximum)</w:t>
      </w:r>
    </w:p>
    <w:p w:rsidR="005A5A09" w:rsidRPr="00EB76A4" w:rsidRDefault="005A5A09" w:rsidP="00C90E6B">
      <w:pPr>
        <w:widowControl w:val="0"/>
        <w:numPr>
          <w:ilvl w:val="0"/>
          <w:numId w:val="40"/>
        </w:numPr>
        <w:rPr>
          <w:rFonts w:ascii="Calibri" w:hAnsi="Calibri" w:cs="Calibri"/>
          <w:bCs/>
          <w:sz w:val="22"/>
          <w:szCs w:val="22"/>
        </w:rPr>
      </w:pPr>
      <w:r w:rsidRPr="00EB76A4">
        <w:rPr>
          <w:rFonts w:ascii="Calibri" w:hAnsi="Calibri" w:cs="Calibri"/>
          <w:sz w:val="22"/>
          <w:szCs w:val="22"/>
        </w:rPr>
        <w:t xml:space="preserve">For Economic Development applications, claim one point for each $10,000 of non-CDBG funds contributed to the project as leverage.  List all funds to be contributed. </w:t>
      </w:r>
    </w:p>
    <w:p w:rsidR="005A5A09" w:rsidRPr="00EB76A4" w:rsidRDefault="005A5A09" w:rsidP="005A5A09">
      <w:pPr>
        <w:widowControl w:val="0"/>
        <w:rPr>
          <w:rFonts w:ascii="Calibri" w:hAnsi="Calibri" w:cs="Calibri"/>
          <w:bCs/>
          <w:sz w:val="22"/>
          <w:szCs w:val="22"/>
        </w:rPr>
      </w:pPr>
    </w:p>
    <w:p w:rsidR="005A5A09" w:rsidRPr="00EB76A4" w:rsidRDefault="005A5A09" w:rsidP="005A5A09">
      <w:pPr>
        <w:widowControl w:val="0"/>
        <w:spacing w:after="120"/>
        <w:rPr>
          <w:rFonts w:ascii="Calibri" w:hAnsi="Calibri" w:cs="Calibri"/>
          <w:bCs/>
          <w:sz w:val="22"/>
          <w:szCs w:val="22"/>
        </w:rPr>
      </w:pPr>
      <w:r w:rsidRPr="00EB76A4">
        <w:rPr>
          <w:rFonts w:ascii="Calibri" w:hAnsi="Calibri" w:cs="Calibri"/>
          <w:bCs/>
          <w:sz w:val="22"/>
          <w:szCs w:val="22"/>
        </w:rPr>
        <w:t>The following requirements relate to the use of leveraged funds claimed for application score points:</w:t>
      </w:r>
    </w:p>
    <w:p w:rsidR="005A5A09" w:rsidRPr="00EB76A4" w:rsidRDefault="005A5A09" w:rsidP="00C90E6B">
      <w:pPr>
        <w:widowControl w:val="0"/>
        <w:numPr>
          <w:ilvl w:val="0"/>
          <w:numId w:val="33"/>
        </w:numPr>
        <w:tabs>
          <w:tab w:val="clear" w:pos="360"/>
        </w:tabs>
        <w:spacing w:after="120"/>
        <w:ind w:left="720"/>
        <w:rPr>
          <w:rFonts w:ascii="Calibri" w:hAnsi="Calibri" w:cs="Calibri"/>
          <w:sz w:val="22"/>
          <w:szCs w:val="22"/>
        </w:rPr>
      </w:pPr>
      <w:r w:rsidRPr="00EB76A4">
        <w:rPr>
          <w:rFonts w:ascii="Calibri" w:hAnsi="Calibri" w:cs="Calibri"/>
          <w:sz w:val="22"/>
          <w:szCs w:val="22"/>
        </w:rPr>
        <w:t>Except for grant application preparation costs, leverage must be expended after the date of application site visit and prior to submission of the administrative closeout</w:t>
      </w:r>
    </w:p>
    <w:p w:rsidR="005A5A09" w:rsidRPr="00EB76A4" w:rsidRDefault="005A5A09" w:rsidP="00C90E6B">
      <w:pPr>
        <w:widowControl w:val="0"/>
        <w:numPr>
          <w:ilvl w:val="0"/>
          <w:numId w:val="33"/>
        </w:numPr>
        <w:spacing w:after="120"/>
        <w:ind w:left="720"/>
        <w:rPr>
          <w:rFonts w:ascii="Calibri" w:hAnsi="Calibri" w:cs="Calibri"/>
          <w:sz w:val="22"/>
          <w:szCs w:val="22"/>
        </w:rPr>
      </w:pPr>
      <w:r w:rsidRPr="00EB76A4">
        <w:rPr>
          <w:rFonts w:ascii="Calibri" w:hAnsi="Calibri" w:cs="Calibri"/>
          <w:sz w:val="22"/>
          <w:szCs w:val="22"/>
        </w:rPr>
        <w:t xml:space="preserve">Leveraged funds must be expended proportionately and concurrently with CDBG funds to the extent feasible.  </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 xml:space="preserve">Except for fee waivers and donation of land, leverage must be cash expenditures.  </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 xml:space="preserve">Impact, permit and other fees which the local government would normally collect due to the CDBG project, but which the local government waives, qualifies as local government leverage. (If the fee would have been collected by another entity and that entity waives the fee, it qualifies as “non-local” leverage.)  </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 xml:space="preserve">Except for administrative and engineering costs, leverage funds shall only be expended on eligible activities for the program category that is being funded to qualify for scoring.  The leveraged activities must meet the LMI national objective.  For NR and CR projects, the leveraged activities shall take place in the designated service areas.  </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 xml:space="preserve">Funds for jurisdiction-wide or large area-wide activities (i.e., sewer or water treatment plant, water tank, etc.) shall not be counted unless the CDBG project is for the same activity or the leveraged funds are for a new or expanded water or sewer plant and the CDBG project is for the associated water or sewer lines or hook-ups.  </w:t>
      </w:r>
    </w:p>
    <w:p w:rsidR="005A5A09" w:rsidRPr="00EB76A4" w:rsidRDefault="005A5A09" w:rsidP="005A5A09">
      <w:pPr>
        <w:pStyle w:val="Level1"/>
        <w:numPr>
          <w:ilvl w:val="0"/>
          <w:numId w:val="0"/>
        </w:numPr>
        <w:spacing w:after="120"/>
        <w:ind w:left="720"/>
        <w:rPr>
          <w:rFonts w:ascii="Calibri" w:hAnsi="Calibri" w:cs="Calibri"/>
          <w:sz w:val="22"/>
          <w:szCs w:val="22"/>
        </w:rPr>
      </w:pPr>
      <w:r w:rsidRPr="00EB76A4">
        <w:rPr>
          <w:rFonts w:ascii="Calibri" w:hAnsi="Calibri" w:cs="Calibri"/>
          <w:sz w:val="22"/>
          <w:szCs w:val="22"/>
        </w:rPr>
        <w:t>The proportion to be counted shall be based on a pro-rata share of service to the project’s beneficiaries.  If beneficiary information is not available, households may be used for calculating the proportion. (For example, leveraging a new sewer plant with a CDBG grant for 50 of 200 total hookups will allow the proportion to be calculated using total and CDBG beneficiaries, if these are known; if total beneficiaries are unknown, use the proportion of CDBG hook-ups to total hook-ups [25%].)</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Grant or loan funds, which the local government will expend as leverage, must be under contract or awarded to the local government when the application is submitted.  All documents necessary to complete the award, loan or grant must be fully executed</w:t>
      </w:r>
      <w:r w:rsidRPr="00EB76A4">
        <w:rPr>
          <w:rFonts w:ascii="Calibri" w:hAnsi="Calibri" w:cs="Calibri"/>
          <w:b/>
          <w:bCs/>
          <w:sz w:val="22"/>
          <w:szCs w:val="22"/>
        </w:rPr>
        <w:t xml:space="preserve"> </w:t>
      </w:r>
      <w:r w:rsidRPr="00EB76A4">
        <w:rPr>
          <w:rFonts w:ascii="Calibri" w:hAnsi="Calibri" w:cs="Calibri"/>
          <w:sz w:val="22"/>
          <w:szCs w:val="22"/>
        </w:rPr>
        <w:t>by</w:t>
      </w:r>
      <w:r w:rsidRPr="00EB76A4">
        <w:rPr>
          <w:rFonts w:ascii="Calibri" w:hAnsi="Calibri" w:cs="Calibri"/>
          <w:b/>
          <w:bCs/>
          <w:sz w:val="22"/>
          <w:szCs w:val="22"/>
        </w:rPr>
        <w:t xml:space="preserve"> </w:t>
      </w:r>
      <w:r w:rsidRPr="00EB76A4">
        <w:rPr>
          <w:rFonts w:ascii="Calibri" w:hAnsi="Calibri" w:cs="Calibri"/>
          <w:sz w:val="22"/>
          <w:szCs w:val="22"/>
        </w:rPr>
        <w:t xml:space="preserve">all parties before the application deadline date.  </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Funds not yet awarded by EDA may be claimed for leverage if the local government can document that it received a written formal notification that their EDA application has been received, reviewed and found to warrant further consideration within the 12 months before the application deadline.</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Grants or loans from the Florida Communities Trust, pursuant to Chapter 380.501-.515, F.S., may be counted if the parcel is included in a grant awarded prior to application deadline and the parcel will be part of a CDBG activity.</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State Housing Initiatives Partnership (SHIP) funds can only be used for leverage on Housing Rehabilitation projects.</w:t>
      </w:r>
    </w:p>
    <w:p w:rsidR="005A5A09" w:rsidRPr="00EB76A4" w:rsidRDefault="005A5A09" w:rsidP="00C90E6B">
      <w:pPr>
        <w:pStyle w:val="Level1"/>
        <w:numPr>
          <w:ilvl w:val="0"/>
          <w:numId w:val="33"/>
        </w:numPr>
        <w:spacing w:after="120"/>
        <w:ind w:left="720"/>
        <w:rPr>
          <w:rFonts w:ascii="Calibri" w:hAnsi="Calibri" w:cs="Calibri"/>
          <w:sz w:val="22"/>
          <w:szCs w:val="22"/>
        </w:rPr>
      </w:pPr>
      <w:r w:rsidRPr="00EB76A4">
        <w:rPr>
          <w:rFonts w:ascii="Calibri" w:hAnsi="Calibri" w:cs="Calibri"/>
          <w:sz w:val="22"/>
          <w:szCs w:val="22"/>
        </w:rPr>
        <w:t xml:space="preserve">For grants and loans in NR, for each $5 of construction leverage expended on an activity, there must be at least $1 of CDBG funds expended on the same activity.  </w:t>
      </w:r>
    </w:p>
    <w:p w:rsidR="005A5A09" w:rsidRPr="00EB76A4" w:rsidRDefault="005A5A09" w:rsidP="005A5A09">
      <w:pPr>
        <w:pStyle w:val="Level1"/>
        <w:numPr>
          <w:ilvl w:val="0"/>
          <w:numId w:val="0"/>
        </w:numPr>
        <w:spacing w:after="120"/>
        <w:ind w:left="720"/>
        <w:rPr>
          <w:rFonts w:ascii="Calibri" w:hAnsi="Calibri" w:cs="Calibri"/>
          <w:sz w:val="22"/>
          <w:szCs w:val="22"/>
        </w:rPr>
      </w:pPr>
      <w:r w:rsidRPr="00EB76A4">
        <w:rPr>
          <w:rFonts w:ascii="Calibri" w:hAnsi="Calibri" w:cs="Calibri"/>
          <w:sz w:val="22"/>
          <w:szCs w:val="22"/>
        </w:rPr>
        <w:t>To meet this requirement, the following activities listed separately in the application shall be considered one activity:</w:t>
      </w:r>
    </w:p>
    <w:p w:rsidR="005A5A09" w:rsidRPr="00EB76A4" w:rsidRDefault="005A5A09" w:rsidP="00C90E6B">
      <w:pPr>
        <w:pStyle w:val="Level1"/>
        <w:numPr>
          <w:ilvl w:val="0"/>
          <w:numId w:val="32"/>
        </w:numPr>
        <w:tabs>
          <w:tab w:val="clear" w:pos="720"/>
          <w:tab w:val="num" w:pos="1080"/>
        </w:tabs>
        <w:spacing w:after="120"/>
        <w:ind w:left="1080"/>
        <w:outlineLvl w:val="9"/>
        <w:rPr>
          <w:rFonts w:ascii="Calibri" w:hAnsi="Calibri" w:cs="Calibri"/>
          <w:sz w:val="22"/>
          <w:szCs w:val="22"/>
        </w:rPr>
      </w:pPr>
      <w:r w:rsidRPr="00EB76A4">
        <w:rPr>
          <w:rFonts w:ascii="Calibri" w:hAnsi="Calibri" w:cs="Calibri"/>
          <w:sz w:val="22"/>
          <w:szCs w:val="22"/>
        </w:rPr>
        <w:t>Water plant, new or replacement water lines and water hook-ups</w:t>
      </w:r>
    </w:p>
    <w:p w:rsidR="005A5A09" w:rsidRPr="00EB76A4" w:rsidRDefault="005A5A09" w:rsidP="00C90E6B">
      <w:pPr>
        <w:pStyle w:val="Level1"/>
        <w:numPr>
          <w:ilvl w:val="0"/>
          <w:numId w:val="32"/>
        </w:numPr>
        <w:tabs>
          <w:tab w:val="clear" w:pos="720"/>
          <w:tab w:val="num" w:pos="1080"/>
        </w:tabs>
        <w:spacing w:after="120"/>
        <w:ind w:left="1080"/>
        <w:outlineLvl w:val="9"/>
        <w:rPr>
          <w:rFonts w:ascii="Calibri" w:hAnsi="Calibri" w:cs="Calibri"/>
          <w:sz w:val="22"/>
          <w:szCs w:val="22"/>
        </w:rPr>
      </w:pPr>
      <w:r w:rsidRPr="00EB76A4">
        <w:rPr>
          <w:rFonts w:ascii="Calibri" w:hAnsi="Calibri" w:cs="Calibri"/>
          <w:sz w:val="22"/>
          <w:szCs w:val="22"/>
        </w:rPr>
        <w:t>Sewer plant, new or replacement sewer lines and sewer hook-ups</w:t>
      </w:r>
    </w:p>
    <w:p w:rsidR="005A5A09" w:rsidRPr="00EB76A4" w:rsidRDefault="005A5A09" w:rsidP="00C90E6B">
      <w:pPr>
        <w:pStyle w:val="Level1"/>
        <w:numPr>
          <w:ilvl w:val="0"/>
          <w:numId w:val="32"/>
        </w:numPr>
        <w:tabs>
          <w:tab w:val="clear" w:pos="720"/>
          <w:tab w:val="num" w:pos="1080"/>
        </w:tabs>
        <w:spacing w:after="120"/>
        <w:ind w:left="1080"/>
        <w:outlineLvl w:val="9"/>
        <w:rPr>
          <w:rFonts w:ascii="Calibri" w:hAnsi="Calibri" w:cs="Calibri"/>
          <w:sz w:val="22"/>
          <w:szCs w:val="22"/>
        </w:rPr>
      </w:pPr>
      <w:r w:rsidRPr="00EB76A4">
        <w:rPr>
          <w:rFonts w:ascii="Calibri" w:hAnsi="Calibri" w:cs="Calibri"/>
          <w:sz w:val="22"/>
          <w:szCs w:val="22"/>
        </w:rPr>
        <w:t>New roads and resurfacing existing roads</w:t>
      </w:r>
    </w:p>
    <w:p w:rsidR="005A5A09" w:rsidRPr="00EB76A4" w:rsidRDefault="005A5A09" w:rsidP="00C90E6B">
      <w:pPr>
        <w:pStyle w:val="Level1"/>
        <w:numPr>
          <w:ilvl w:val="0"/>
          <w:numId w:val="32"/>
        </w:numPr>
        <w:tabs>
          <w:tab w:val="clear" w:pos="720"/>
          <w:tab w:val="num" w:pos="1080"/>
        </w:tabs>
        <w:spacing w:after="120"/>
        <w:ind w:left="1080"/>
        <w:outlineLvl w:val="9"/>
        <w:rPr>
          <w:rFonts w:ascii="Calibri" w:hAnsi="Calibri" w:cs="Calibri"/>
          <w:sz w:val="22"/>
          <w:szCs w:val="22"/>
        </w:rPr>
      </w:pPr>
      <w:r w:rsidRPr="00EB76A4">
        <w:rPr>
          <w:rFonts w:ascii="Calibri" w:hAnsi="Calibri" w:cs="Calibri"/>
          <w:sz w:val="22"/>
          <w:szCs w:val="22"/>
        </w:rPr>
        <w:t>Land acquisition, including easements, required for any activity shall be considered part of that activity</w:t>
      </w:r>
    </w:p>
    <w:p w:rsidR="005A5A09" w:rsidRPr="00EB76A4" w:rsidRDefault="005A5A09" w:rsidP="005A5A09">
      <w:pPr>
        <w:pStyle w:val="Level1"/>
        <w:numPr>
          <w:ilvl w:val="0"/>
          <w:numId w:val="0"/>
        </w:numPr>
        <w:rPr>
          <w:rFonts w:ascii="Calibri" w:hAnsi="Calibri" w:cs="Calibri"/>
          <w:sz w:val="22"/>
          <w:szCs w:val="22"/>
        </w:rPr>
      </w:pPr>
    </w:p>
    <w:p w:rsidR="005A5A09" w:rsidRPr="00EB76A4" w:rsidRDefault="005A5A09" w:rsidP="00C90E6B">
      <w:pPr>
        <w:pStyle w:val="Level1"/>
        <w:numPr>
          <w:ilvl w:val="0"/>
          <w:numId w:val="33"/>
        </w:numPr>
        <w:rPr>
          <w:rFonts w:ascii="Calibri" w:hAnsi="Calibri" w:cs="Calibri"/>
          <w:sz w:val="22"/>
          <w:szCs w:val="22"/>
        </w:rPr>
      </w:pPr>
      <w:r w:rsidRPr="00EB76A4">
        <w:rPr>
          <w:rFonts w:ascii="Calibri" w:hAnsi="Calibri" w:cs="Calibri"/>
          <w:sz w:val="22"/>
          <w:szCs w:val="22"/>
        </w:rPr>
        <w:t xml:space="preserve">Funds which will be </w:t>
      </w:r>
      <w:r w:rsidRPr="00EB76A4">
        <w:rPr>
          <w:rFonts w:ascii="Calibri" w:hAnsi="Calibri" w:cs="Calibri"/>
          <w:i/>
          <w:iCs/>
          <w:sz w:val="22"/>
          <w:szCs w:val="22"/>
        </w:rPr>
        <w:t>expended on the project by another entity</w:t>
      </w:r>
      <w:r w:rsidRPr="00EB76A4">
        <w:rPr>
          <w:rFonts w:ascii="Calibri" w:hAnsi="Calibri" w:cs="Calibri"/>
          <w:sz w:val="22"/>
          <w:szCs w:val="22"/>
        </w:rPr>
        <w:t xml:space="preserve"> must be officially committed to the project on the application deadline by a letter signed by an authorized individual representing that entity.  The letter must state the amount, source and use of the entity’s funds and, except for SHIP funds, must indicate that the funds are currently available.  The applicant is responsible for ensuring that the person signing the letter is authorized to commit the funds.  </w:t>
      </w:r>
    </w:p>
    <w:p w:rsidR="005A5A09" w:rsidRPr="00EB76A4" w:rsidRDefault="005A5A09" w:rsidP="005A5A09">
      <w:pPr>
        <w:pStyle w:val="Footer"/>
        <w:tabs>
          <w:tab w:val="clear" w:pos="4320"/>
          <w:tab w:val="clear" w:pos="8640"/>
        </w:tabs>
        <w:rPr>
          <w:rFonts w:ascii="Calibri" w:hAnsi="Calibri" w:cs="Calibri"/>
          <w:b/>
          <w:sz w:val="22"/>
          <w:szCs w:val="22"/>
        </w:rPr>
      </w:pPr>
      <w:r w:rsidRPr="00EB76A4">
        <w:rPr>
          <w:rFonts w:ascii="Calibri" w:hAnsi="Calibri" w:cs="Calibri"/>
          <w:b/>
          <w:sz w:val="22"/>
          <w:szCs w:val="22"/>
        </w:rPr>
        <w:br w:type="page"/>
      </w:r>
    </w:p>
    <w:p w:rsidR="005A5A09" w:rsidRPr="00EB76A4" w:rsidRDefault="005A5A09" w:rsidP="005A5A09">
      <w:pPr>
        <w:pStyle w:val="Footer"/>
        <w:tabs>
          <w:tab w:val="clear" w:pos="4320"/>
          <w:tab w:val="clear" w:pos="8640"/>
        </w:tabs>
        <w:rPr>
          <w:rFonts w:ascii="Calibri" w:hAnsi="Calibri" w:cs="Calibri"/>
          <w:b/>
          <w:sz w:val="22"/>
          <w:szCs w:val="22"/>
        </w:rPr>
      </w:pPr>
      <w:r w:rsidRPr="00EB76A4">
        <w:rPr>
          <w:rFonts w:ascii="Calibri" w:hAnsi="Calibri" w:cs="Calibri"/>
          <w:b/>
          <w:sz w:val="22"/>
          <w:szCs w:val="22"/>
        </w:rPr>
        <w:t>Donated Land</w:t>
      </w:r>
    </w:p>
    <w:p w:rsidR="005A5A09" w:rsidRPr="00EB76A4" w:rsidRDefault="005A5A09" w:rsidP="005A5A09">
      <w:pPr>
        <w:pStyle w:val="Footer"/>
        <w:tabs>
          <w:tab w:val="clear" w:pos="4320"/>
          <w:tab w:val="clear" w:pos="8640"/>
        </w:tabs>
        <w:rPr>
          <w:rFonts w:ascii="Calibri" w:hAnsi="Calibri" w:cs="Calibri"/>
          <w:b/>
          <w:sz w:val="22"/>
          <w:szCs w:val="22"/>
        </w:rPr>
      </w:pPr>
    </w:p>
    <w:p w:rsidR="005A5A09" w:rsidRPr="00EB76A4" w:rsidRDefault="005A5A09" w:rsidP="00C90E6B">
      <w:pPr>
        <w:widowControl w:val="0"/>
        <w:numPr>
          <w:ilvl w:val="0"/>
          <w:numId w:val="33"/>
        </w:numPr>
        <w:spacing w:after="120"/>
        <w:rPr>
          <w:rFonts w:ascii="Calibri" w:hAnsi="Calibri" w:cs="Calibri"/>
          <w:sz w:val="22"/>
          <w:szCs w:val="22"/>
        </w:rPr>
      </w:pPr>
      <w:r w:rsidRPr="00EB76A4">
        <w:rPr>
          <w:rFonts w:ascii="Calibri" w:hAnsi="Calibri" w:cs="Calibri"/>
          <w:sz w:val="22"/>
          <w:szCs w:val="22"/>
        </w:rPr>
        <w:t>To be counted for leverage, land must already be owned by the local government, be the subject of a purchase agreement or purchase option, or be the subject of a donation agreement (contingent on only the local government obtaining the grant and completing the project).</w:t>
      </w:r>
    </w:p>
    <w:p w:rsidR="005A5A09" w:rsidRPr="00EB76A4" w:rsidRDefault="005A5A09" w:rsidP="00C90E6B">
      <w:pPr>
        <w:pStyle w:val="BodyTextIndent2"/>
        <w:widowControl w:val="0"/>
        <w:numPr>
          <w:ilvl w:val="0"/>
          <w:numId w:val="33"/>
        </w:numPr>
        <w:tabs>
          <w:tab w:val="clear" w:pos="-1440"/>
        </w:tabs>
        <w:spacing w:after="120" w:line="240" w:lineRule="auto"/>
        <w:rPr>
          <w:rFonts w:ascii="Calibri" w:hAnsi="Calibri" w:cs="Calibri"/>
          <w:sz w:val="22"/>
          <w:szCs w:val="22"/>
        </w:rPr>
      </w:pPr>
      <w:r w:rsidRPr="00EB76A4">
        <w:rPr>
          <w:rFonts w:ascii="Calibri" w:hAnsi="Calibri" w:cs="Calibri"/>
          <w:sz w:val="22"/>
          <w:szCs w:val="22"/>
        </w:rPr>
        <w:t>Donation of land qualifies as leverage only if the property is not already being used for the CDBG activity requiring the land and the donation allows the local government to avoid a purchase of land for the project.  If the land is already in use and the CDBG activity allows continuation of the existing use, leverage cannot be claimed (i.e., land being used as a park will not qualify as leverage for a new park; land not used as a park, but donated for that use will qualify as leverage; a golf course which will also be used as a wastewater spray field will not qualify as leverage.)</w:t>
      </w:r>
    </w:p>
    <w:p w:rsidR="005A5A09" w:rsidRPr="00EB76A4" w:rsidRDefault="005A5A09" w:rsidP="00C90E6B">
      <w:pPr>
        <w:widowControl w:val="0"/>
        <w:numPr>
          <w:ilvl w:val="0"/>
          <w:numId w:val="33"/>
        </w:numPr>
        <w:spacing w:after="120"/>
        <w:rPr>
          <w:rFonts w:ascii="Calibri" w:hAnsi="Calibri" w:cs="Calibri"/>
          <w:sz w:val="22"/>
          <w:szCs w:val="22"/>
        </w:rPr>
      </w:pPr>
      <w:r w:rsidRPr="00EB76A4">
        <w:rPr>
          <w:rFonts w:ascii="Calibri" w:hAnsi="Calibri" w:cs="Calibri"/>
          <w:sz w:val="22"/>
          <w:szCs w:val="22"/>
        </w:rPr>
        <w:t xml:space="preserve">The value of donated land shall be based on one of the following: </w:t>
      </w:r>
    </w:p>
    <w:p w:rsidR="005A5A09" w:rsidRPr="00EB76A4" w:rsidRDefault="005A5A09" w:rsidP="00C90E6B">
      <w:pPr>
        <w:widowControl w:val="0"/>
        <w:numPr>
          <w:ilvl w:val="0"/>
          <w:numId w:val="34"/>
        </w:numPr>
        <w:rPr>
          <w:rFonts w:ascii="Calibri" w:hAnsi="Calibri" w:cs="Calibri"/>
          <w:sz w:val="22"/>
          <w:szCs w:val="22"/>
        </w:rPr>
      </w:pPr>
      <w:r w:rsidRPr="00EB76A4">
        <w:rPr>
          <w:rFonts w:ascii="Calibri" w:hAnsi="Calibri" w:cs="Calibri"/>
          <w:sz w:val="22"/>
          <w:szCs w:val="22"/>
        </w:rPr>
        <w:t>The most recent value established by the County property appraiser.</w:t>
      </w:r>
    </w:p>
    <w:p w:rsidR="005A5A09" w:rsidRPr="00EB76A4" w:rsidRDefault="005A5A09" w:rsidP="00C90E6B">
      <w:pPr>
        <w:widowControl w:val="0"/>
        <w:numPr>
          <w:ilvl w:val="0"/>
          <w:numId w:val="35"/>
        </w:numPr>
        <w:rPr>
          <w:rFonts w:ascii="Calibri" w:hAnsi="Calibri" w:cs="Calibri"/>
          <w:sz w:val="22"/>
          <w:szCs w:val="22"/>
        </w:rPr>
      </w:pPr>
      <w:r w:rsidRPr="00EB76A4">
        <w:rPr>
          <w:rFonts w:ascii="Calibri" w:hAnsi="Calibri" w:cs="Calibri"/>
          <w:sz w:val="22"/>
          <w:szCs w:val="22"/>
        </w:rPr>
        <w:t xml:space="preserve">An appraisal based on proposed use by a state licensed appraiser. </w:t>
      </w:r>
    </w:p>
    <w:p w:rsidR="005A5A09" w:rsidRPr="00EB76A4" w:rsidRDefault="005A5A09" w:rsidP="00C90E6B">
      <w:pPr>
        <w:widowControl w:val="0"/>
        <w:numPr>
          <w:ilvl w:val="0"/>
          <w:numId w:val="36"/>
        </w:numPr>
        <w:rPr>
          <w:rFonts w:ascii="Calibri" w:hAnsi="Calibri" w:cs="Calibri"/>
          <w:sz w:val="22"/>
          <w:szCs w:val="22"/>
        </w:rPr>
      </w:pPr>
      <w:r w:rsidRPr="00EB76A4">
        <w:rPr>
          <w:rFonts w:ascii="Calibri" w:hAnsi="Calibri" w:cs="Calibri"/>
          <w:sz w:val="22"/>
          <w:szCs w:val="22"/>
        </w:rPr>
        <w:t xml:space="preserve">The most recent sale price if sale was within 12 months of application deadline; or, for property valued at less than $10,000, a statement of value from someone knowledgeable about property values. </w:t>
      </w:r>
    </w:p>
    <w:p w:rsidR="005A5A09" w:rsidRPr="00EB76A4" w:rsidRDefault="005A5A09" w:rsidP="00C90E6B">
      <w:pPr>
        <w:widowControl w:val="0"/>
        <w:numPr>
          <w:ilvl w:val="0"/>
          <w:numId w:val="37"/>
        </w:numPr>
        <w:rPr>
          <w:rFonts w:ascii="Calibri" w:hAnsi="Calibri" w:cs="Calibri"/>
          <w:sz w:val="22"/>
          <w:szCs w:val="22"/>
        </w:rPr>
      </w:pPr>
      <w:r w:rsidRPr="00EB76A4">
        <w:rPr>
          <w:rFonts w:ascii="Calibri" w:hAnsi="Calibri" w:cs="Calibri"/>
          <w:sz w:val="22"/>
          <w:szCs w:val="22"/>
        </w:rPr>
        <w:t>For easements, a proportional value, based on the size of the easement to the value of the total property’s size, is acceptable.</w:t>
      </w:r>
    </w:p>
    <w:p w:rsidR="005A5A09" w:rsidRPr="00EB76A4" w:rsidRDefault="005A5A09" w:rsidP="005A5A09">
      <w:pPr>
        <w:widowControl w:val="0"/>
        <w:ind w:left="360"/>
        <w:rPr>
          <w:rFonts w:ascii="Calibri" w:hAnsi="Calibri" w:cs="Calibri"/>
          <w:sz w:val="22"/>
          <w:szCs w:val="22"/>
        </w:rPr>
      </w:pPr>
    </w:p>
    <w:p w:rsidR="005A5A09" w:rsidRPr="00EB76A4" w:rsidRDefault="005A5A09" w:rsidP="005A5A09">
      <w:pPr>
        <w:pStyle w:val="Footer"/>
        <w:rPr>
          <w:rFonts w:ascii="Calibri" w:hAnsi="Calibri" w:cs="Calibri"/>
          <w:b/>
          <w:bCs/>
          <w:sz w:val="22"/>
          <w:szCs w:val="22"/>
        </w:rPr>
      </w:pPr>
      <w:r w:rsidRPr="00EB76A4">
        <w:rPr>
          <w:rFonts w:ascii="Calibri" w:hAnsi="Calibri" w:cs="Calibri"/>
          <w:b/>
          <w:bCs/>
          <w:sz w:val="22"/>
          <w:szCs w:val="22"/>
        </w:rPr>
        <w:t>Economic Development/Participating Party Leverage</w:t>
      </w:r>
    </w:p>
    <w:p w:rsidR="005A5A09" w:rsidRPr="00EB76A4" w:rsidRDefault="005A5A09" w:rsidP="005A5A09">
      <w:pPr>
        <w:pStyle w:val="Footer"/>
        <w:rPr>
          <w:rFonts w:ascii="Calibri" w:hAnsi="Calibri" w:cs="Calibri"/>
          <w:sz w:val="22"/>
          <w:szCs w:val="22"/>
        </w:rPr>
      </w:pPr>
      <w:r w:rsidRPr="00EB76A4">
        <w:rPr>
          <w:rFonts w:ascii="Calibri" w:hAnsi="Calibri" w:cs="Calibri"/>
          <w:sz w:val="22"/>
          <w:szCs w:val="22"/>
        </w:rPr>
        <w:t xml:space="preserve">In addition to the overall leverage requirements, leverage funds provided by a Participating Party must be reflected in the Participating Party’s letter of commitment.  For scoring purposes, a Participating Party may claim a leverage amount that is less than the total amount reflected on Table E-2.  </w:t>
      </w:r>
    </w:p>
    <w:p w:rsidR="005A5A09" w:rsidRPr="00EB76A4" w:rsidRDefault="005A5A09" w:rsidP="005A5A09">
      <w:pPr>
        <w:pStyle w:val="Footer"/>
        <w:rPr>
          <w:rFonts w:ascii="Calibri" w:hAnsi="Calibri" w:cs="Calibri"/>
          <w:sz w:val="22"/>
          <w:szCs w:val="22"/>
        </w:rPr>
      </w:pPr>
    </w:p>
    <w:p w:rsidR="005A5A09" w:rsidRPr="00EB76A4" w:rsidRDefault="005A5A09" w:rsidP="005A5A09">
      <w:pPr>
        <w:pStyle w:val="Footer"/>
        <w:rPr>
          <w:rFonts w:ascii="Calibri" w:hAnsi="Calibri" w:cs="Calibri"/>
          <w:sz w:val="22"/>
          <w:szCs w:val="22"/>
        </w:rPr>
      </w:pPr>
      <w:r w:rsidRPr="00EB76A4">
        <w:rPr>
          <w:rFonts w:ascii="Calibri" w:hAnsi="Calibri" w:cs="Calibri"/>
          <w:sz w:val="22"/>
          <w:szCs w:val="22"/>
        </w:rPr>
        <w:t>To qualify for points, funds must be:</w:t>
      </w:r>
    </w:p>
    <w:p w:rsidR="005A5A09" w:rsidRPr="00EB76A4" w:rsidRDefault="005A5A09" w:rsidP="005A5A09">
      <w:pPr>
        <w:pStyle w:val="Footer"/>
        <w:rPr>
          <w:rFonts w:ascii="Calibri" w:hAnsi="Calibri" w:cs="Calibri"/>
          <w:b/>
          <w:bCs/>
          <w:sz w:val="22"/>
          <w:szCs w:val="22"/>
        </w:rPr>
      </w:pPr>
    </w:p>
    <w:p w:rsidR="005A5A09" w:rsidRPr="00EB76A4" w:rsidRDefault="005A5A09" w:rsidP="00C90E6B">
      <w:pPr>
        <w:widowControl w:val="0"/>
        <w:numPr>
          <w:ilvl w:val="0"/>
          <w:numId w:val="37"/>
        </w:numPr>
        <w:rPr>
          <w:rFonts w:ascii="Calibri" w:hAnsi="Calibri" w:cs="Calibri"/>
          <w:sz w:val="22"/>
          <w:szCs w:val="22"/>
        </w:rPr>
      </w:pPr>
      <w:r w:rsidRPr="00EB76A4">
        <w:rPr>
          <w:rFonts w:ascii="Calibri" w:hAnsi="Calibri" w:cs="Calibri"/>
          <w:sz w:val="22"/>
          <w:szCs w:val="22"/>
        </w:rPr>
        <w:t>In the form of available cash, new equity or debt funds.</w:t>
      </w:r>
    </w:p>
    <w:p w:rsidR="005A5A09" w:rsidRPr="00EB76A4" w:rsidRDefault="005A5A09" w:rsidP="00C90E6B">
      <w:pPr>
        <w:widowControl w:val="0"/>
        <w:numPr>
          <w:ilvl w:val="0"/>
          <w:numId w:val="37"/>
        </w:numPr>
        <w:rPr>
          <w:rFonts w:ascii="Calibri" w:hAnsi="Calibri" w:cs="Calibri"/>
          <w:sz w:val="22"/>
          <w:szCs w:val="22"/>
        </w:rPr>
      </w:pPr>
      <w:r w:rsidRPr="00EB76A4">
        <w:rPr>
          <w:rFonts w:ascii="Calibri" w:hAnsi="Calibri" w:cs="Calibri"/>
          <w:sz w:val="22"/>
          <w:szCs w:val="22"/>
        </w:rPr>
        <w:t>Spent on activities at the job creation location or on activities directly in support of grant-related activities at the job creation location.</w:t>
      </w:r>
    </w:p>
    <w:p w:rsidR="005A5A09" w:rsidRPr="00EB76A4" w:rsidRDefault="005A5A09" w:rsidP="00C90E6B">
      <w:pPr>
        <w:widowControl w:val="0"/>
        <w:numPr>
          <w:ilvl w:val="0"/>
          <w:numId w:val="37"/>
        </w:numPr>
        <w:rPr>
          <w:rFonts w:ascii="Calibri" w:hAnsi="Calibri" w:cs="Calibri"/>
          <w:sz w:val="22"/>
          <w:szCs w:val="22"/>
        </w:rPr>
      </w:pPr>
      <w:r w:rsidRPr="00EB76A4">
        <w:rPr>
          <w:rFonts w:ascii="Calibri" w:hAnsi="Calibri" w:cs="Calibri"/>
          <w:sz w:val="22"/>
          <w:szCs w:val="22"/>
        </w:rPr>
        <w:t xml:space="preserve">Expended on initial startup costs.  </w:t>
      </w:r>
    </w:p>
    <w:p w:rsidR="005A5A09" w:rsidRPr="00EB76A4" w:rsidRDefault="005A5A09" w:rsidP="005A5A09">
      <w:pPr>
        <w:widowControl w:val="0"/>
        <w:rPr>
          <w:rFonts w:ascii="Calibri" w:hAnsi="Calibri" w:cs="Calibri"/>
          <w:sz w:val="22"/>
          <w:szCs w:val="22"/>
        </w:rPr>
      </w:pPr>
    </w:p>
    <w:p w:rsidR="005A5A09" w:rsidRPr="00EB76A4" w:rsidRDefault="005A5A09" w:rsidP="005A5A09">
      <w:pPr>
        <w:widowControl w:val="0"/>
        <w:rPr>
          <w:rFonts w:ascii="Calibri" w:hAnsi="Calibri" w:cs="Calibri"/>
          <w:sz w:val="22"/>
          <w:szCs w:val="22"/>
        </w:rPr>
      </w:pPr>
      <w:r w:rsidRPr="00EB76A4">
        <w:rPr>
          <w:rFonts w:ascii="Calibri" w:hAnsi="Calibri" w:cs="Calibri"/>
          <w:sz w:val="22"/>
          <w:szCs w:val="22"/>
        </w:rPr>
        <w:t>Funds cannot be for ongoing costs of operation, such as payroll, rent, lease expense, inventory purchases, non-capitalized equipment, maintenance, or other like expenses may not be counted.</w:t>
      </w:r>
    </w:p>
    <w:p w:rsidR="005A5A09" w:rsidRPr="00EB76A4" w:rsidRDefault="005A5A09" w:rsidP="005A5A09">
      <w:pPr>
        <w:widowControl w:val="0"/>
        <w:rPr>
          <w:rFonts w:ascii="Calibri" w:hAnsi="Calibri" w:cs="Calibri"/>
          <w:sz w:val="22"/>
          <w:szCs w:val="22"/>
        </w:rPr>
      </w:pPr>
      <w:r w:rsidRPr="00EB76A4">
        <w:rPr>
          <w:rFonts w:ascii="Calibri" w:hAnsi="Calibri" w:cs="Calibri"/>
          <w:sz w:val="22"/>
          <w:szCs w:val="22"/>
        </w:rPr>
        <w:br w:type="page"/>
      </w:r>
    </w:p>
    <w:p w:rsidR="005A5A09" w:rsidRPr="00EB76A4" w:rsidRDefault="005A5A09" w:rsidP="005A5A09">
      <w:pPr>
        <w:pStyle w:val="Footer"/>
        <w:rPr>
          <w:rFonts w:ascii="Calibri" w:hAnsi="Calibri" w:cs="Calibri"/>
          <w:b/>
          <w:bCs/>
          <w:sz w:val="22"/>
          <w:szCs w:val="22"/>
        </w:rPr>
      </w:pPr>
      <w:r w:rsidRPr="00EB76A4">
        <w:rPr>
          <w:rFonts w:ascii="Calibri" w:hAnsi="Calibri" w:cs="Calibri"/>
          <w:b/>
          <w:bCs/>
          <w:sz w:val="22"/>
          <w:szCs w:val="22"/>
        </w:rPr>
        <w:t>Public Leverage from Local Funding Sources</w:t>
      </w:r>
    </w:p>
    <w:p w:rsidR="005A5A09" w:rsidRPr="00EB76A4" w:rsidRDefault="005A5A09" w:rsidP="005A5A09">
      <w:pPr>
        <w:pStyle w:val="Footer"/>
        <w:rPr>
          <w:rFonts w:ascii="Calibri" w:hAnsi="Calibri" w:cs="Calibri"/>
          <w:sz w:val="22"/>
          <w:szCs w:val="22"/>
        </w:rPr>
      </w:pPr>
      <w:r w:rsidRPr="00EB76A4">
        <w:rPr>
          <w:rFonts w:ascii="Calibri" w:hAnsi="Calibri" w:cs="Calibri"/>
          <w:sz w:val="22"/>
          <w:szCs w:val="22"/>
        </w:rPr>
        <w:t xml:space="preserve">Leverage contributions provided by the local government must be reflected on Table L-1 and in the local government’s letter of commitment.   </w:t>
      </w:r>
    </w:p>
    <w:p w:rsidR="005A5A09" w:rsidRPr="00EB76A4" w:rsidRDefault="005A5A09" w:rsidP="005A5A09">
      <w:pPr>
        <w:pStyle w:val="Footer"/>
        <w:rPr>
          <w:rFonts w:ascii="Calibri" w:hAnsi="Calibri" w:cs="Calibri"/>
          <w:sz w:val="22"/>
          <w:szCs w:val="22"/>
        </w:rPr>
      </w:pPr>
    </w:p>
    <w:p w:rsidR="005A5A09" w:rsidRPr="00EB76A4" w:rsidRDefault="005A5A09" w:rsidP="005A5A09">
      <w:pPr>
        <w:pStyle w:val="Footer"/>
        <w:spacing w:after="120"/>
        <w:rPr>
          <w:rFonts w:ascii="Calibri" w:hAnsi="Calibri" w:cs="Calibri"/>
          <w:sz w:val="22"/>
          <w:szCs w:val="22"/>
        </w:rPr>
      </w:pPr>
      <w:r w:rsidRPr="00EB76A4">
        <w:rPr>
          <w:rFonts w:ascii="Calibri" w:hAnsi="Calibri" w:cs="Calibri"/>
          <w:sz w:val="22"/>
          <w:szCs w:val="22"/>
        </w:rPr>
        <w:t>To be claimed for points, funds:</w:t>
      </w:r>
      <w:r w:rsidRPr="00EB76A4">
        <w:rPr>
          <w:rFonts w:ascii="Calibri" w:hAnsi="Calibri" w:cs="Calibri"/>
          <w:sz w:val="22"/>
          <w:szCs w:val="22"/>
        </w:rPr>
        <w:tab/>
      </w:r>
    </w:p>
    <w:p w:rsidR="005A5A09" w:rsidRPr="00EB76A4" w:rsidRDefault="005A5A09" w:rsidP="00C90E6B">
      <w:pPr>
        <w:widowControl w:val="0"/>
        <w:numPr>
          <w:ilvl w:val="0"/>
          <w:numId w:val="39"/>
        </w:numPr>
        <w:spacing w:after="120"/>
        <w:rPr>
          <w:rFonts w:ascii="Calibri" w:hAnsi="Calibri" w:cs="Calibri"/>
          <w:sz w:val="22"/>
          <w:szCs w:val="22"/>
        </w:rPr>
      </w:pPr>
      <w:r w:rsidRPr="00EB76A4">
        <w:rPr>
          <w:rFonts w:ascii="Calibri" w:hAnsi="Calibri" w:cs="Calibri"/>
          <w:sz w:val="22"/>
          <w:szCs w:val="22"/>
        </w:rPr>
        <w:t xml:space="preserve">Must be from the applying local government. </w:t>
      </w:r>
    </w:p>
    <w:p w:rsidR="005A5A09" w:rsidRPr="00EB76A4" w:rsidRDefault="005A5A09" w:rsidP="00C90E6B">
      <w:pPr>
        <w:widowControl w:val="0"/>
        <w:numPr>
          <w:ilvl w:val="0"/>
          <w:numId w:val="39"/>
        </w:numPr>
        <w:spacing w:after="120"/>
        <w:rPr>
          <w:rFonts w:ascii="Calibri" w:hAnsi="Calibri" w:cs="Calibri"/>
          <w:sz w:val="22"/>
          <w:szCs w:val="22"/>
        </w:rPr>
      </w:pPr>
      <w:r w:rsidRPr="00EB76A4">
        <w:rPr>
          <w:rFonts w:ascii="Calibri" w:hAnsi="Calibri" w:cs="Calibri"/>
          <w:sz w:val="22"/>
          <w:szCs w:val="22"/>
        </w:rPr>
        <w:t>Must be used for CDBG eligible activities that directly enhance or expand the scope of the CDBG activities or project, are in direct support of the job creating entities, or are necessary for the completion of the proposed CDBG funded activities.</w:t>
      </w:r>
    </w:p>
    <w:p w:rsidR="005A5A09" w:rsidRPr="00EB76A4" w:rsidRDefault="005A5A09" w:rsidP="00C90E6B">
      <w:pPr>
        <w:widowControl w:val="0"/>
        <w:numPr>
          <w:ilvl w:val="0"/>
          <w:numId w:val="39"/>
        </w:numPr>
        <w:spacing w:after="120"/>
        <w:rPr>
          <w:rFonts w:ascii="Calibri" w:hAnsi="Calibri" w:cs="Calibri"/>
          <w:sz w:val="22"/>
          <w:szCs w:val="22"/>
        </w:rPr>
      </w:pPr>
      <w:r w:rsidRPr="00EB76A4">
        <w:rPr>
          <w:rFonts w:ascii="Calibri" w:hAnsi="Calibri" w:cs="Calibri"/>
          <w:sz w:val="22"/>
          <w:szCs w:val="22"/>
        </w:rPr>
        <w:t>May include funds from General Revenue, Program Income from a prior CDBG project, waiver or payment of permitting fees, funds expended which will not be reimbursed by a CDBG grant.</w:t>
      </w:r>
    </w:p>
    <w:p w:rsidR="005A5A09" w:rsidRPr="00EB76A4" w:rsidRDefault="005A5A09" w:rsidP="00C90E6B">
      <w:pPr>
        <w:widowControl w:val="0"/>
        <w:numPr>
          <w:ilvl w:val="0"/>
          <w:numId w:val="39"/>
        </w:numPr>
        <w:spacing w:after="120"/>
        <w:rPr>
          <w:rFonts w:ascii="Calibri" w:hAnsi="Calibri" w:cs="Calibri"/>
          <w:sz w:val="22"/>
          <w:szCs w:val="22"/>
        </w:rPr>
      </w:pPr>
      <w:r w:rsidRPr="00EB76A4">
        <w:rPr>
          <w:rFonts w:ascii="Calibri" w:hAnsi="Calibri" w:cs="Calibri"/>
          <w:sz w:val="22"/>
          <w:szCs w:val="22"/>
        </w:rPr>
        <w:t>Cannot be grants from any governmental or private agency, in-kind services, normal recurring governmental services or expenses, forgiven or deferred taxes, donations, or expenses that are maintenance in nature.</w:t>
      </w:r>
    </w:p>
    <w:p w:rsidR="005A5A09" w:rsidRPr="00EB76A4" w:rsidRDefault="005A5A09" w:rsidP="00C90E6B">
      <w:pPr>
        <w:widowControl w:val="0"/>
        <w:numPr>
          <w:ilvl w:val="0"/>
          <w:numId w:val="39"/>
        </w:numPr>
        <w:spacing w:after="120"/>
        <w:rPr>
          <w:rFonts w:ascii="Calibri" w:hAnsi="Calibri" w:cs="Calibri"/>
          <w:bCs/>
          <w:sz w:val="22"/>
          <w:szCs w:val="22"/>
        </w:rPr>
      </w:pPr>
      <w:r w:rsidRPr="00EB76A4">
        <w:rPr>
          <w:rFonts w:ascii="Calibri" w:hAnsi="Calibri" w:cs="Calibri"/>
          <w:sz w:val="22"/>
          <w:szCs w:val="22"/>
        </w:rPr>
        <w:t>Can be provided by a loan; however, the loan must be fully approved, subject only to the receipt of CDBG or other federal funding.</w:t>
      </w:r>
    </w:p>
    <w:p w:rsidR="005A5A09" w:rsidRPr="00EB76A4" w:rsidRDefault="005A5A09" w:rsidP="00C90E6B">
      <w:pPr>
        <w:widowControl w:val="0"/>
        <w:numPr>
          <w:ilvl w:val="0"/>
          <w:numId w:val="39"/>
        </w:numPr>
        <w:rPr>
          <w:rFonts w:ascii="Calibri" w:hAnsi="Calibri" w:cs="Calibri"/>
          <w:sz w:val="22"/>
          <w:szCs w:val="22"/>
        </w:rPr>
      </w:pPr>
      <w:r w:rsidRPr="00EB76A4">
        <w:rPr>
          <w:rFonts w:ascii="Calibri" w:hAnsi="Calibri" w:cs="Calibri"/>
          <w:sz w:val="22"/>
          <w:szCs w:val="22"/>
        </w:rPr>
        <w:t xml:space="preserve">Can be administrative costs for CDBG application preparation paid by the local government, which will not be reimbursed by the subgrant.  </w:t>
      </w:r>
    </w:p>
    <w:p w:rsidR="005A5A09" w:rsidRPr="00EB76A4" w:rsidRDefault="005A5A09" w:rsidP="005A5A09">
      <w:pPr>
        <w:widowControl w:val="0"/>
        <w:ind w:left="720"/>
        <w:rPr>
          <w:rFonts w:ascii="Calibri" w:hAnsi="Calibri" w:cs="Calibri"/>
          <w:b/>
          <w:bCs/>
          <w:sz w:val="22"/>
          <w:szCs w:val="22"/>
        </w:rPr>
      </w:pPr>
    </w:p>
    <w:p w:rsidR="005A5A09" w:rsidRPr="00EB76A4" w:rsidRDefault="005A5A09" w:rsidP="005A5A09">
      <w:pPr>
        <w:widowControl w:val="0"/>
        <w:rPr>
          <w:rFonts w:ascii="Calibri" w:hAnsi="Calibri" w:cs="Calibri"/>
          <w:b/>
          <w:bCs/>
          <w:sz w:val="22"/>
          <w:szCs w:val="22"/>
        </w:rPr>
      </w:pPr>
      <w:r w:rsidRPr="00EB76A4">
        <w:rPr>
          <w:rFonts w:ascii="Calibri" w:hAnsi="Calibri" w:cs="Calibri"/>
          <w:b/>
          <w:bCs/>
          <w:sz w:val="22"/>
          <w:szCs w:val="22"/>
        </w:rPr>
        <w:t>Public Leverage from Non-Local Government Sources</w:t>
      </w:r>
    </w:p>
    <w:p w:rsidR="005A5A09" w:rsidRPr="00EB76A4" w:rsidRDefault="005A5A09" w:rsidP="005A5A09">
      <w:pPr>
        <w:widowControl w:val="0"/>
        <w:spacing w:after="120"/>
        <w:rPr>
          <w:rFonts w:ascii="Calibri" w:hAnsi="Calibri" w:cs="Calibri"/>
          <w:sz w:val="22"/>
          <w:szCs w:val="22"/>
        </w:rPr>
      </w:pPr>
      <w:r w:rsidRPr="00EB76A4">
        <w:rPr>
          <w:rFonts w:ascii="Calibri" w:hAnsi="Calibri" w:cs="Calibri"/>
          <w:sz w:val="22"/>
          <w:szCs w:val="22"/>
        </w:rPr>
        <w:t xml:space="preserve">Leverage funds provided by non-local government sources must be reflected on Table L-1 and in the Participating Party’s letter of commitment.  </w:t>
      </w:r>
    </w:p>
    <w:p w:rsidR="005A5A09" w:rsidRPr="00EB76A4" w:rsidRDefault="005A5A09" w:rsidP="005A5A09">
      <w:pPr>
        <w:widowControl w:val="0"/>
        <w:spacing w:after="120"/>
        <w:rPr>
          <w:rFonts w:ascii="Calibri" w:hAnsi="Calibri" w:cs="Calibri"/>
          <w:sz w:val="22"/>
          <w:szCs w:val="22"/>
        </w:rPr>
      </w:pPr>
      <w:r w:rsidRPr="00EB76A4">
        <w:rPr>
          <w:rFonts w:ascii="Calibri" w:hAnsi="Calibri" w:cs="Calibri"/>
          <w:sz w:val="22"/>
          <w:szCs w:val="22"/>
        </w:rPr>
        <w:t>To claim points, funds must be:</w:t>
      </w:r>
    </w:p>
    <w:p w:rsidR="005A5A09" w:rsidRPr="00EB76A4" w:rsidRDefault="005A5A09" w:rsidP="00C90E6B">
      <w:pPr>
        <w:widowControl w:val="0"/>
        <w:numPr>
          <w:ilvl w:val="0"/>
          <w:numId w:val="38"/>
        </w:numPr>
        <w:tabs>
          <w:tab w:val="clear" w:pos="360"/>
        </w:tabs>
        <w:spacing w:after="120"/>
        <w:ind w:left="720"/>
        <w:rPr>
          <w:rFonts w:ascii="Calibri" w:hAnsi="Calibri" w:cs="Calibri"/>
          <w:sz w:val="22"/>
          <w:szCs w:val="22"/>
        </w:rPr>
      </w:pPr>
      <w:r w:rsidRPr="00EB76A4">
        <w:rPr>
          <w:rFonts w:ascii="Calibri" w:hAnsi="Calibri" w:cs="Calibri"/>
          <w:sz w:val="22"/>
          <w:szCs w:val="22"/>
        </w:rPr>
        <w:t>From a source other than CDBG, the applying local government (applicant), or a political subdivision of the applicant.</w:t>
      </w:r>
    </w:p>
    <w:p w:rsidR="005A5A09" w:rsidRPr="00EB76A4" w:rsidRDefault="005A5A09" w:rsidP="00C90E6B">
      <w:pPr>
        <w:widowControl w:val="0"/>
        <w:numPr>
          <w:ilvl w:val="0"/>
          <w:numId w:val="38"/>
        </w:numPr>
        <w:tabs>
          <w:tab w:val="clear" w:pos="360"/>
        </w:tabs>
        <w:spacing w:after="120"/>
        <w:ind w:left="720"/>
        <w:rPr>
          <w:rFonts w:ascii="Calibri" w:hAnsi="Calibri" w:cs="Calibri"/>
          <w:sz w:val="22"/>
          <w:szCs w:val="22"/>
        </w:rPr>
      </w:pPr>
      <w:r w:rsidRPr="00EB76A4">
        <w:rPr>
          <w:rFonts w:ascii="Calibri" w:hAnsi="Calibri" w:cs="Calibri"/>
          <w:sz w:val="22"/>
          <w:szCs w:val="22"/>
        </w:rPr>
        <w:t>Used for CDBG eligible activities that directly enhance or expand the scope of the CDBG activities or project, are in direct support of the job creating entities, or are necessary for the completion of the proposed CDBG funded activities.</w:t>
      </w:r>
    </w:p>
    <w:p w:rsidR="005A5A09" w:rsidRPr="00EB76A4" w:rsidRDefault="005A5A09" w:rsidP="00C90E6B">
      <w:pPr>
        <w:widowControl w:val="0"/>
        <w:numPr>
          <w:ilvl w:val="0"/>
          <w:numId w:val="38"/>
        </w:numPr>
        <w:tabs>
          <w:tab w:val="clear" w:pos="360"/>
        </w:tabs>
        <w:spacing w:after="120"/>
        <w:ind w:left="720"/>
        <w:rPr>
          <w:rFonts w:ascii="Calibri" w:hAnsi="Calibri" w:cs="Calibri"/>
          <w:sz w:val="22"/>
          <w:szCs w:val="22"/>
        </w:rPr>
      </w:pPr>
      <w:r w:rsidRPr="00EB76A4">
        <w:rPr>
          <w:rFonts w:ascii="Calibri" w:hAnsi="Calibri" w:cs="Calibri"/>
          <w:sz w:val="22"/>
          <w:szCs w:val="22"/>
        </w:rPr>
        <w:t>Fully approved and ready to be sold, if provided by the sale of bonds.</w:t>
      </w:r>
    </w:p>
    <w:p w:rsidR="005A5A09" w:rsidRPr="00EB76A4" w:rsidRDefault="005A5A09" w:rsidP="00C90E6B">
      <w:pPr>
        <w:widowControl w:val="0"/>
        <w:numPr>
          <w:ilvl w:val="0"/>
          <w:numId w:val="38"/>
        </w:numPr>
        <w:tabs>
          <w:tab w:val="clear" w:pos="360"/>
        </w:tabs>
        <w:spacing w:after="120"/>
        <w:ind w:left="720"/>
        <w:rPr>
          <w:rFonts w:ascii="Calibri" w:hAnsi="Calibri" w:cs="Calibri"/>
          <w:sz w:val="22"/>
          <w:szCs w:val="22"/>
        </w:rPr>
      </w:pPr>
      <w:r w:rsidRPr="00EB76A4">
        <w:rPr>
          <w:rFonts w:ascii="Calibri" w:hAnsi="Calibri" w:cs="Calibri"/>
          <w:sz w:val="22"/>
          <w:szCs w:val="22"/>
        </w:rPr>
        <w:t>Fully approved, subject only to the receipt of CDBG or other federal funding, if provided by a loan.</w:t>
      </w:r>
    </w:p>
    <w:p w:rsidR="005A5A09" w:rsidRPr="00EB76A4" w:rsidRDefault="005A5A09" w:rsidP="00C90E6B">
      <w:pPr>
        <w:widowControl w:val="0"/>
        <w:numPr>
          <w:ilvl w:val="0"/>
          <w:numId w:val="38"/>
        </w:numPr>
        <w:tabs>
          <w:tab w:val="clear" w:pos="360"/>
        </w:tabs>
        <w:ind w:left="720"/>
        <w:rPr>
          <w:rFonts w:ascii="Calibri" w:hAnsi="Calibri" w:cs="Calibri"/>
          <w:sz w:val="22"/>
          <w:szCs w:val="22"/>
        </w:rPr>
      </w:pPr>
      <w:r w:rsidRPr="00EB76A4">
        <w:rPr>
          <w:rFonts w:ascii="Calibri" w:hAnsi="Calibri" w:cs="Calibri"/>
          <w:sz w:val="22"/>
          <w:szCs w:val="22"/>
        </w:rPr>
        <w:t>An amount that is not less than the amount reflected on Table L-1.</w:t>
      </w:r>
    </w:p>
    <w:p w:rsidR="005A5A09" w:rsidRPr="00EB76A4" w:rsidRDefault="005A5A09" w:rsidP="005A5A09">
      <w:pPr>
        <w:tabs>
          <w:tab w:val="left" w:pos="-1440"/>
        </w:tabs>
        <w:spacing w:line="280" w:lineRule="exact"/>
        <w:rPr>
          <w:rFonts w:ascii="Calibri" w:hAnsi="Calibri" w:cs="Calibri"/>
          <w:b/>
          <w:sz w:val="22"/>
          <w:szCs w:val="22"/>
        </w:rPr>
      </w:pPr>
      <w:r w:rsidRPr="00EB76A4">
        <w:rPr>
          <w:rFonts w:ascii="Calibri" w:hAnsi="Calibri" w:cs="Calibri"/>
          <w:b/>
          <w:sz w:val="22"/>
          <w:szCs w:val="22"/>
        </w:rPr>
        <w:br w:type="page"/>
      </w:r>
    </w:p>
    <w:p w:rsidR="005A5A09" w:rsidRPr="00EB76A4" w:rsidRDefault="005A5A09" w:rsidP="005A5A09">
      <w:pPr>
        <w:tabs>
          <w:tab w:val="left" w:pos="-1440"/>
        </w:tabs>
        <w:spacing w:line="280" w:lineRule="exact"/>
        <w:rPr>
          <w:rFonts w:ascii="Calibri" w:hAnsi="Calibri" w:cs="Calibri"/>
          <w:sz w:val="22"/>
          <w:szCs w:val="22"/>
        </w:rPr>
      </w:pPr>
      <w:r w:rsidRPr="00EB76A4">
        <w:rPr>
          <w:rFonts w:ascii="Calibri" w:hAnsi="Calibri" w:cs="Calibri"/>
          <w:b/>
          <w:sz w:val="22"/>
          <w:szCs w:val="22"/>
        </w:rPr>
        <w:t xml:space="preserve">Other Funds Needed for the Project </w:t>
      </w:r>
      <w:r w:rsidRPr="00EB76A4">
        <w:rPr>
          <w:rFonts w:ascii="Calibri" w:hAnsi="Calibri" w:cs="Calibri"/>
          <w:sz w:val="22"/>
          <w:szCs w:val="22"/>
        </w:rPr>
        <w:t>(Not Claimed for Leverage)</w:t>
      </w:r>
    </w:p>
    <w:p w:rsidR="005A5A09" w:rsidRPr="00EB76A4" w:rsidRDefault="005A5A09" w:rsidP="005A5A09">
      <w:pPr>
        <w:tabs>
          <w:tab w:val="left" w:pos="-1440"/>
        </w:tabs>
        <w:spacing w:line="280" w:lineRule="exact"/>
        <w:rPr>
          <w:rFonts w:ascii="Calibri" w:hAnsi="Calibri" w:cs="Calibri"/>
          <w:sz w:val="22"/>
          <w:szCs w:val="22"/>
        </w:rPr>
      </w:pPr>
    </w:p>
    <w:p w:rsidR="005A5A09" w:rsidRPr="00EB76A4" w:rsidRDefault="005A5A09" w:rsidP="005A5A09">
      <w:pPr>
        <w:tabs>
          <w:tab w:val="left" w:pos="-1440"/>
        </w:tabs>
        <w:spacing w:line="280" w:lineRule="exact"/>
        <w:rPr>
          <w:rFonts w:ascii="Calibri" w:hAnsi="Calibri" w:cs="Calibri"/>
          <w:sz w:val="22"/>
          <w:szCs w:val="22"/>
        </w:rPr>
      </w:pPr>
      <w:r w:rsidRPr="00EB76A4">
        <w:rPr>
          <w:rFonts w:ascii="Calibri" w:hAnsi="Calibri" w:cs="Calibri"/>
          <w:sz w:val="22"/>
          <w:szCs w:val="22"/>
        </w:rPr>
        <w:t xml:space="preserve">Identify (by activity, amount and source) in the appropriate column of the Sources and Uses of Non-CDBG Funds spreadsheet any funds not claimed for leverage, but which are required for the project.  For Neighborhood Revitalization, Commercial Revitalization and Housing Rehabilitation projects, documentation of the availability of these funds will be requested at the site visit.  Funds are “available” if the local government can document (e.g., executed funding document or letter of funds award) that the funds are guaranteed. For the application to remain fundable, this documentation must be received by the Department no later than the end of the completeness period. </w:t>
      </w:r>
    </w:p>
    <w:p w:rsidR="005A5A09" w:rsidRPr="00EB76A4" w:rsidRDefault="005A5A09" w:rsidP="005A5A09">
      <w:pPr>
        <w:tabs>
          <w:tab w:val="left" w:pos="-1440"/>
        </w:tabs>
        <w:spacing w:line="280" w:lineRule="exact"/>
        <w:rPr>
          <w:rFonts w:ascii="Calibri" w:hAnsi="Calibri" w:cs="Calibri"/>
          <w:sz w:val="22"/>
          <w:szCs w:val="22"/>
        </w:rPr>
      </w:pPr>
    </w:p>
    <w:p w:rsidR="005A5A09" w:rsidRPr="00EB76A4" w:rsidRDefault="005A5A09" w:rsidP="005A5A09">
      <w:pPr>
        <w:tabs>
          <w:tab w:val="left" w:pos="-1440"/>
        </w:tabs>
        <w:spacing w:line="280" w:lineRule="exact"/>
        <w:rPr>
          <w:rFonts w:ascii="Calibri" w:hAnsi="Calibri" w:cs="Calibri"/>
          <w:sz w:val="22"/>
          <w:szCs w:val="22"/>
        </w:rPr>
      </w:pPr>
      <w:r w:rsidRPr="00EB76A4">
        <w:rPr>
          <w:rFonts w:ascii="Calibri" w:hAnsi="Calibri" w:cs="Calibri"/>
          <w:sz w:val="22"/>
          <w:szCs w:val="22"/>
        </w:rPr>
        <w:t>For Economic Development projects, documentation of the availability of all funds necessary for the completion of a project must be provided by the end of the 60-day offer to contract period.</w:t>
      </w:r>
      <w:bookmarkStart w:id="7" w:name="_GoBack"/>
      <w:bookmarkEnd w:id="7"/>
    </w:p>
    <w:sectPr w:rsidR="005A5A09" w:rsidRPr="00EB76A4" w:rsidSect="00DB532D">
      <w:headerReference w:type="even" r:id="rId11"/>
      <w:headerReference w:type="default" r:id="rId12"/>
      <w:footerReference w:type="even" r:id="rId13"/>
      <w:footerReference w:type="default" r:id="rId14"/>
      <w:headerReference w:type="first" r:id="rId15"/>
      <w:footerReference w:type="first" r:id="rId16"/>
      <w:pgSz w:w="15840" w:h="12240" w:orient="landscape" w:code="1"/>
      <w:pgMar w:top="1440" w:right="1008" w:bottom="1296"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E5E" w:rsidRDefault="00B35E5E">
      <w:r>
        <w:separator/>
      </w:r>
    </w:p>
  </w:endnote>
  <w:endnote w:type="continuationSeparator" w:id="0">
    <w:p w:rsidR="00B35E5E" w:rsidRDefault="00B35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nkGothic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EA7AAC" w:rsidRDefault="00842E17" w:rsidP="00F865F2">
    <w:pPr>
      <w:pStyle w:val="Footer"/>
      <w:tabs>
        <w:tab w:val="clear" w:pos="4320"/>
        <w:tab w:val="clear" w:pos="8640"/>
        <w:tab w:val="center" w:pos="6480"/>
        <w:tab w:val="right" w:pos="12960"/>
      </w:tabs>
      <w:rPr>
        <w:rFonts w:ascii="Calibri" w:hAnsi="Calibri"/>
      </w:rPr>
    </w:pPr>
    <w:r w:rsidRPr="00EA7AAC">
      <w:rPr>
        <w:rStyle w:val="PageNumber"/>
        <w:rFonts w:ascii="Calibri" w:hAnsi="Calibri"/>
      </w:rPr>
      <w:tab/>
    </w:r>
    <w:r w:rsidRPr="00EA7AAC">
      <w:rPr>
        <w:rStyle w:val="PageNumber"/>
        <w:rFonts w:ascii="Calibri" w:hAnsi="Calibri"/>
      </w:rPr>
      <w:fldChar w:fldCharType="begin"/>
    </w:r>
    <w:r w:rsidRPr="00EA7AAC">
      <w:rPr>
        <w:rStyle w:val="PageNumber"/>
        <w:rFonts w:ascii="Calibri" w:hAnsi="Calibri"/>
      </w:rPr>
      <w:instrText xml:space="preserve"> PAGE </w:instrText>
    </w:r>
    <w:r w:rsidRPr="00EA7AAC">
      <w:rPr>
        <w:rStyle w:val="PageNumber"/>
        <w:rFonts w:ascii="Calibri" w:hAnsi="Calibri"/>
      </w:rPr>
      <w:fldChar w:fldCharType="separate"/>
    </w:r>
    <w:r w:rsidR="00B00525">
      <w:rPr>
        <w:rStyle w:val="PageNumber"/>
        <w:rFonts w:ascii="Calibri" w:hAnsi="Calibri"/>
        <w:noProof/>
      </w:rPr>
      <w:t>1</w:t>
    </w:r>
    <w:r w:rsidRPr="00EA7AAC">
      <w:rPr>
        <w:rStyle w:val="PageNumber"/>
        <w:rFonts w:ascii="Calibri" w:hAnsi="Calibri"/>
      </w:rPr>
      <w:fldChar w:fldCharType="end"/>
    </w:r>
    <w:r w:rsidRPr="00EA7AAC">
      <w:rPr>
        <w:rStyle w:val="PageNumber"/>
        <w:rFonts w:ascii="Calibri" w:hAnsi="Calibri"/>
      </w:rPr>
      <w:tab/>
    </w:r>
    <w:r w:rsidRPr="002B230F">
      <w:rPr>
        <w:rFonts w:ascii="Calibri" w:hAnsi="Calibri" w:cs="Tahoma"/>
      </w:rPr>
      <w:t>73C-23.0041, FAC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2E17" w:rsidRDefault="00842E1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tabs>
        <w:tab w:val="center" w:pos="6750"/>
        <w:tab w:val="right" w:pos="13500"/>
      </w:tabs>
      <w:spacing w:line="240" w:lineRule="exact"/>
      <w:rPr>
        <w:rFonts w:ascii="Calibri" w:hAnsi="Calibri"/>
      </w:rPr>
    </w:pPr>
    <w:r w:rsidRPr="006D30FC">
      <w:rPr>
        <w:rStyle w:val="PageNumber"/>
        <w:rFonts w:ascii="Calibri" w:hAnsi="Calibri"/>
        <w:sz w:val="20"/>
      </w:rPr>
      <w:tab/>
    </w:r>
    <w:r w:rsidRPr="006D30FC">
      <w:rPr>
        <w:rStyle w:val="PageNumber"/>
        <w:rFonts w:ascii="Calibri" w:hAnsi="Calibri"/>
        <w:sz w:val="20"/>
      </w:rPr>
      <w:fldChar w:fldCharType="begin"/>
    </w:r>
    <w:r w:rsidRPr="006D30FC">
      <w:rPr>
        <w:rStyle w:val="PageNumber"/>
        <w:rFonts w:ascii="Calibri" w:hAnsi="Calibri"/>
        <w:sz w:val="20"/>
      </w:rPr>
      <w:instrText xml:space="preserve"> PAGE </w:instrText>
    </w:r>
    <w:r w:rsidRPr="006D30FC">
      <w:rPr>
        <w:rStyle w:val="PageNumber"/>
        <w:rFonts w:ascii="Calibri" w:hAnsi="Calibri"/>
        <w:sz w:val="20"/>
      </w:rPr>
      <w:fldChar w:fldCharType="separate"/>
    </w:r>
    <w:r w:rsidR="00B00525">
      <w:rPr>
        <w:rStyle w:val="PageNumber"/>
        <w:rFonts w:ascii="Calibri" w:hAnsi="Calibri"/>
        <w:noProof/>
        <w:sz w:val="20"/>
      </w:rPr>
      <w:t>8</w:t>
    </w:r>
    <w:r w:rsidRPr="006D30FC">
      <w:rPr>
        <w:rStyle w:val="PageNumber"/>
        <w:rFonts w:ascii="Calibri" w:hAnsi="Calibri"/>
        <w:sz w:val="20"/>
      </w:rPr>
      <w:fldChar w:fldCharType="end"/>
    </w:r>
    <w:r w:rsidRPr="006D30FC">
      <w:rPr>
        <w:rStyle w:val="PageNumber"/>
        <w:rFonts w:ascii="Calibri" w:hAnsi="Calibri"/>
        <w:sz w:val="20"/>
      </w:rPr>
      <w:tab/>
    </w:r>
    <w:r w:rsidRPr="006A72E7">
      <w:rPr>
        <w:rStyle w:val="PageNumber"/>
        <w:rFonts w:ascii="Calibri" w:hAnsi="Calibri"/>
        <w:sz w:val="20"/>
      </w:rPr>
      <w:t>73C-23.0041, FAC</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pStyle w:val="Footer"/>
      <w:tabs>
        <w:tab w:val="clear" w:pos="4320"/>
        <w:tab w:val="clear" w:pos="8640"/>
        <w:tab w:val="center" w:pos="6750"/>
        <w:tab w:val="right" w:pos="13500"/>
      </w:tabs>
      <w:rPr>
        <w:rFonts w:ascii="Calibri" w:hAnsi="Calibri"/>
      </w:rPr>
    </w:pPr>
    <w:r w:rsidRPr="006D30FC">
      <w:rPr>
        <w:rStyle w:val="PageNumber"/>
        <w:rFonts w:ascii="Calibri" w:hAnsi="Calibri"/>
      </w:rPr>
      <w:tab/>
    </w:r>
    <w:r w:rsidRPr="006D30FC">
      <w:rPr>
        <w:rStyle w:val="PageNumber"/>
        <w:rFonts w:ascii="Calibri" w:hAnsi="Calibri"/>
      </w:rPr>
      <w:fldChar w:fldCharType="begin"/>
    </w:r>
    <w:r w:rsidRPr="006D30FC">
      <w:rPr>
        <w:rStyle w:val="PageNumber"/>
        <w:rFonts w:ascii="Calibri" w:hAnsi="Calibri"/>
      </w:rPr>
      <w:instrText xml:space="preserve"> PAGE </w:instrText>
    </w:r>
    <w:r w:rsidRPr="006D30FC">
      <w:rPr>
        <w:rStyle w:val="PageNumber"/>
        <w:rFonts w:ascii="Calibri" w:hAnsi="Calibri"/>
      </w:rPr>
      <w:fldChar w:fldCharType="separate"/>
    </w:r>
    <w:r w:rsidR="00B00525">
      <w:rPr>
        <w:rStyle w:val="PageNumber"/>
        <w:rFonts w:ascii="Calibri" w:hAnsi="Calibri"/>
        <w:noProof/>
      </w:rPr>
      <w:t>2</w:t>
    </w:r>
    <w:r w:rsidRPr="006D30FC">
      <w:rPr>
        <w:rStyle w:val="PageNumber"/>
        <w:rFonts w:ascii="Calibri" w:hAnsi="Calibri"/>
      </w:rPr>
      <w:fldChar w:fldCharType="end"/>
    </w:r>
    <w:r w:rsidRPr="006D30FC">
      <w:rPr>
        <w:rStyle w:val="PageNumber"/>
        <w:rFonts w:ascii="Calibri" w:hAnsi="Calibri"/>
      </w:rPr>
      <w:tab/>
    </w:r>
    <w:r w:rsidRPr="006A72E7">
      <w:rPr>
        <w:rStyle w:val="PageNumber"/>
        <w:rFonts w:ascii="Calibri" w:hAnsi="Calibri"/>
      </w:rPr>
      <w:t>73C-23.0041,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E5E" w:rsidRDefault="00B35E5E">
      <w:r>
        <w:separator/>
      </w:r>
    </w:p>
  </w:footnote>
  <w:footnote w:type="continuationSeparator" w:id="0">
    <w:p w:rsidR="00B35E5E" w:rsidRDefault="00B35E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2B230F" w:rsidRDefault="00842E17" w:rsidP="00F865F2">
    <w:pPr>
      <w:pStyle w:val="Header"/>
      <w:jc w:val="right"/>
      <w:rPr>
        <w:rFonts w:ascii="Calibri" w:hAnsi="Calibri"/>
        <w:szCs w:val="20"/>
      </w:rPr>
    </w:pPr>
    <w:r w:rsidRPr="002B230F">
      <w:rPr>
        <w:rFonts w:ascii="Calibri" w:hAnsi="Calibri"/>
        <w:szCs w:val="20"/>
      </w:rPr>
      <w:t>Form SC-60</w:t>
    </w:r>
  </w:p>
  <w:p w:rsidR="00842E17" w:rsidRPr="00B248BE" w:rsidRDefault="00395E2D" w:rsidP="00F865F2">
    <w:pPr>
      <w:pStyle w:val="Header"/>
      <w:jc w:val="right"/>
      <w:rPr>
        <w:rFonts w:ascii="Calibri" w:hAnsi="Calibri"/>
        <w:strike/>
        <w:szCs w:val="20"/>
      </w:rPr>
    </w:pPr>
    <w:r w:rsidRPr="00B248BE">
      <w:rPr>
        <w:rFonts w:ascii="Calibri" w:hAnsi="Calibri"/>
        <w:szCs w:val="20"/>
      </w:rPr>
      <w:t xml:space="preserve"> </w:t>
    </w:r>
    <w:r w:rsidR="00B00525" w:rsidRPr="00B00525">
      <w:rPr>
        <w:rFonts w:ascii="Calibri" w:hAnsi="Calibri"/>
        <w:szCs w:val="20"/>
      </w:rPr>
      <w:t>April</w:t>
    </w:r>
    <w:r w:rsidRPr="00B248BE">
      <w:rPr>
        <w:rFonts w:ascii="Calibri" w:hAnsi="Calibri"/>
        <w:szCs w:val="20"/>
      </w:rPr>
      <w:t>, 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B248BE" w:rsidRDefault="00B00525" w:rsidP="00842E17">
    <w:pPr>
      <w:pStyle w:val="Header"/>
      <w:jc w:val="right"/>
      <w:rPr>
        <w:rFonts w:ascii="Calibri" w:hAnsi="Calibri"/>
        <w:strike/>
        <w:szCs w:val="20"/>
      </w:rPr>
    </w:pPr>
    <w:r w:rsidRPr="00B00525">
      <w:rPr>
        <w:rFonts w:ascii="Calibri" w:hAnsi="Calibri"/>
        <w:szCs w:val="20"/>
      </w:rPr>
      <w:t>April</w:t>
    </w:r>
    <w:r w:rsidR="00395E2D" w:rsidRPr="00B248BE">
      <w:rPr>
        <w:rFonts w:ascii="Calibri" w:hAnsi="Calibri"/>
        <w:szCs w:val="20"/>
      </w:rPr>
      <w:t>, 2015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B248BE" w:rsidRDefault="00B00525" w:rsidP="00842E17">
    <w:pPr>
      <w:pStyle w:val="Header"/>
      <w:jc w:val="right"/>
      <w:rPr>
        <w:rFonts w:ascii="Calibri" w:hAnsi="Calibri"/>
        <w:strike/>
        <w:szCs w:val="20"/>
      </w:rPr>
    </w:pPr>
    <w:r w:rsidRPr="00B00525">
      <w:rPr>
        <w:rFonts w:ascii="Calibri" w:hAnsi="Calibri"/>
        <w:szCs w:val="20"/>
      </w:rPr>
      <w:t>April</w:t>
    </w:r>
    <w:r w:rsidR="00395E2D" w:rsidRPr="00B248BE">
      <w:rPr>
        <w:rFonts w:ascii="Calibri" w:hAnsi="Calibri"/>
        <w:szCs w:val="20"/>
      </w:rPr>
      <w:t>,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0"/>
    <w:lvl w:ilvl="0">
      <w:start w:val="1"/>
      <w:numFmt w:val="decimal"/>
      <w:lvlText w:val="%1"/>
      <w:lvlJc w:val="left"/>
    </w:lvl>
    <w:lvl w:ilvl="1">
      <w:start w:val="1"/>
      <w:numFmt w:val="upperLetter"/>
      <w:pStyle w:val="Level2"/>
      <w:lvlText w:val="%2."/>
      <w:lvlJc w:val="left"/>
      <w:pPr>
        <w:tabs>
          <w:tab w:val="num" w:pos="1440"/>
        </w:tabs>
        <w:ind w:left="1440" w:hanging="720"/>
      </w:pPr>
      <w:rPr>
        <w:rFonts w:ascii="Arial" w:hAnsi="Arial" w:cs="Arial"/>
        <w:sz w:val="20"/>
        <w:szCs w:val="20"/>
      </w:rPr>
    </w:lvl>
    <w:lvl w:ilvl="2">
      <w:start w:val="1"/>
      <w:numFmt w:val="upp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15"/>
    <w:multiLevelType w:val="multilevel"/>
    <w:tmpl w:val="00000000"/>
    <w:lvl w:ilvl="0">
      <w:start w:val="1"/>
      <w:numFmt w:val="lowerLetter"/>
      <w:pStyle w:val="Level1"/>
      <w:lvlText w:val="%1."/>
      <w:lvlJc w:val="left"/>
      <w:pPr>
        <w:tabs>
          <w:tab w:val="num" w:pos="2160"/>
        </w:tabs>
        <w:ind w:left="2160" w:hanging="720"/>
      </w:pPr>
      <w:rPr>
        <w:rFonts w:ascii="Arial" w:hAnsi="Arial" w:cs="Arial"/>
        <w:sz w:val="20"/>
        <w:szCs w:val="20"/>
      </w:rPr>
    </w:lvl>
    <w:lvl w:ilvl="1">
      <w:start w:val="1"/>
      <w:numFmt w:val="lowerLetter"/>
      <w:lvlText w:val="%2"/>
      <w:lvlJc w:val="left"/>
    </w:lvl>
    <w:lvl w:ilvl="2">
      <w:start w:val="1"/>
      <w:numFmt w:val="lowerLetter"/>
      <w:pStyle w:val="Level3"/>
      <w:lvlText w:val="%3."/>
      <w:lvlJc w:val="left"/>
      <w:pPr>
        <w:tabs>
          <w:tab w:val="num" w:pos="2160"/>
        </w:tabs>
        <w:ind w:left="2160" w:hanging="720"/>
      </w:pPr>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31E396E"/>
    <w:multiLevelType w:val="hybridMultilevel"/>
    <w:tmpl w:val="C2C21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D8164F"/>
    <w:multiLevelType w:val="hybridMultilevel"/>
    <w:tmpl w:val="053E9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E81673"/>
    <w:multiLevelType w:val="hybridMultilevel"/>
    <w:tmpl w:val="49525E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555E6C"/>
    <w:multiLevelType w:val="hybridMultilevel"/>
    <w:tmpl w:val="2CD8B9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4A67755"/>
    <w:multiLevelType w:val="hybridMultilevel"/>
    <w:tmpl w:val="124E7E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D46B76"/>
    <w:multiLevelType w:val="hybridMultilevel"/>
    <w:tmpl w:val="D682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F26CB1"/>
    <w:multiLevelType w:val="hybridMultilevel"/>
    <w:tmpl w:val="11286C3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63262D5"/>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FA6079"/>
    <w:multiLevelType w:val="hybridMultilevel"/>
    <w:tmpl w:val="757A553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070A4019"/>
    <w:multiLevelType w:val="hybridMultilevel"/>
    <w:tmpl w:val="66C4F3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127353"/>
    <w:multiLevelType w:val="hybridMultilevel"/>
    <w:tmpl w:val="B7942F66"/>
    <w:lvl w:ilvl="0" w:tplc="04090001">
      <w:start w:val="1"/>
      <w:numFmt w:val="bullet"/>
      <w:lvlText w:val=""/>
      <w:lvlJc w:val="left"/>
      <w:pPr>
        <w:tabs>
          <w:tab w:val="num" w:pos="1080"/>
        </w:tabs>
        <w:ind w:left="1080" w:hanging="360"/>
      </w:pPr>
      <w:rPr>
        <w:rFonts w:ascii="Symbol" w:hAnsi="Symbol" w:hint="default"/>
      </w:rPr>
    </w:lvl>
    <w:lvl w:ilvl="1" w:tplc="B176731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0C6F210B"/>
    <w:multiLevelType w:val="hybridMultilevel"/>
    <w:tmpl w:val="AD72A1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F2E00BB"/>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FF71A9E"/>
    <w:multiLevelType w:val="hybridMultilevel"/>
    <w:tmpl w:val="A87C4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997993"/>
    <w:multiLevelType w:val="hybridMultilevel"/>
    <w:tmpl w:val="89D4E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0AF408A"/>
    <w:multiLevelType w:val="hybridMultilevel"/>
    <w:tmpl w:val="67A489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0D4455C"/>
    <w:multiLevelType w:val="hybridMultilevel"/>
    <w:tmpl w:val="337A5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A35CA7"/>
    <w:multiLevelType w:val="hybridMultilevel"/>
    <w:tmpl w:val="FEBAEAE0"/>
    <w:lvl w:ilvl="0" w:tplc="04090001">
      <w:start w:val="1"/>
      <w:numFmt w:val="bullet"/>
      <w:lvlText w:val=""/>
      <w:lvlJc w:val="left"/>
      <w:pPr>
        <w:tabs>
          <w:tab w:val="num" w:pos="360"/>
        </w:tabs>
        <w:ind w:left="360" w:hanging="360"/>
      </w:pPr>
      <w:rPr>
        <w:rFonts w:ascii="Symbol" w:hAnsi="Symbol" w:hint="default"/>
      </w:rPr>
    </w:lvl>
    <w:lvl w:ilvl="1" w:tplc="2C9A70C6">
      <w:start w:val="1"/>
      <w:numFmt w:val="decimal"/>
      <w:lvlText w:val="%2."/>
      <w:lvlJc w:val="left"/>
      <w:pPr>
        <w:tabs>
          <w:tab w:val="num" w:pos="1080"/>
        </w:tabs>
        <w:ind w:left="1080" w:hanging="360"/>
      </w:pPr>
    </w:lvl>
    <w:lvl w:ilvl="2" w:tplc="1C8ED14C">
      <w:start w:val="6"/>
      <w:numFmt w:val="upperLetter"/>
      <w:lvlText w:val="%3."/>
      <w:lvlJc w:val="left"/>
      <w:pPr>
        <w:tabs>
          <w:tab w:val="num" w:pos="1800"/>
        </w:tabs>
        <w:ind w:left="1800" w:hanging="360"/>
      </w:pPr>
      <w:rPr>
        <w:rFonts w:hint="default"/>
      </w:rPr>
    </w:lvl>
    <w:lvl w:ilvl="3" w:tplc="183646C2">
      <w:start w:val="50"/>
      <w:numFmt w:val="decimal"/>
      <w:lvlText w:val="(%4"/>
      <w:lvlJc w:val="left"/>
      <w:pPr>
        <w:tabs>
          <w:tab w:val="num" w:pos="2520"/>
        </w:tabs>
        <w:ind w:left="1800" w:firstLine="360"/>
      </w:pPr>
      <w:rPr>
        <w:rFonts w:hint="default"/>
        <w:sz w:val="20"/>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36123EC"/>
    <w:multiLevelType w:val="hybridMultilevel"/>
    <w:tmpl w:val="AF8C2FDA"/>
    <w:lvl w:ilvl="0" w:tplc="04090001">
      <w:start w:val="1"/>
      <w:numFmt w:val="decimal"/>
      <w:lvlText w:val="%1."/>
      <w:lvlJc w:val="left"/>
      <w:pPr>
        <w:tabs>
          <w:tab w:val="num" w:pos="720"/>
        </w:tabs>
        <w:ind w:left="720" w:hanging="360"/>
      </w:pPr>
      <w:rPr>
        <w:rFonts w:hint="default"/>
      </w:rPr>
    </w:lvl>
    <w:lvl w:ilvl="1" w:tplc="2C9A70C6" w:tentative="1">
      <w:start w:val="1"/>
      <w:numFmt w:val="lowerLetter"/>
      <w:lvlText w:val="%2."/>
      <w:lvlJc w:val="left"/>
      <w:pPr>
        <w:tabs>
          <w:tab w:val="num" w:pos="1440"/>
        </w:tabs>
        <w:ind w:left="1440" w:hanging="360"/>
      </w:pPr>
    </w:lvl>
    <w:lvl w:ilvl="2" w:tplc="1C8ED14C" w:tentative="1">
      <w:start w:val="1"/>
      <w:numFmt w:val="lowerRoman"/>
      <w:lvlText w:val="%3."/>
      <w:lvlJc w:val="right"/>
      <w:pPr>
        <w:tabs>
          <w:tab w:val="num" w:pos="2160"/>
        </w:tabs>
        <w:ind w:left="2160" w:hanging="180"/>
      </w:pPr>
    </w:lvl>
    <w:lvl w:ilvl="3" w:tplc="183646C2"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15:restartNumberingAfterBreak="0">
    <w:nsid w:val="13765226"/>
    <w:multiLevelType w:val="hybridMultilevel"/>
    <w:tmpl w:val="6F94F5D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14397862"/>
    <w:multiLevelType w:val="hybridMultilevel"/>
    <w:tmpl w:val="B2329FFE"/>
    <w:lvl w:ilvl="0" w:tplc="FFFFFFFF">
      <w:numFmt w:val="bullet"/>
      <w:lvlText w:val=""/>
      <w:lvlJc w:val="left"/>
      <w:pPr>
        <w:tabs>
          <w:tab w:val="num" w:pos="1656"/>
        </w:tabs>
        <w:ind w:left="1656" w:hanging="792"/>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6852F04"/>
    <w:multiLevelType w:val="hybridMultilevel"/>
    <w:tmpl w:val="E85C944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16AB413A"/>
    <w:multiLevelType w:val="hybridMultilevel"/>
    <w:tmpl w:val="222E96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6D513B7"/>
    <w:multiLevelType w:val="hybridMultilevel"/>
    <w:tmpl w:val="F260E7C0"/>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1A0B60B6"/>
    <w:multiLevelType w:val="hybridMultilevel"/>
    <w:tmpl w:val="49CEE9FA"/>
    <w:lvl w:ilvl="0" w:tplc="0409000F">
      <w:start w:val="1"/>
      <w:numFmt w:val="decimal"/>
      <w:lvlText w:val="%1."/>
      <w:lvlJc w:val="left"/>
      <w:pPr>
        <w:tabs>
          <w:tab w:val="num" w:pos="360"/>
        </w:tabs>
        <w:ind w:left="360" w:hanging="360"/>
      </w:pPr>
    </w:lvl>
    <w:lvl w:ilvl="1" w:tplc="52E2118E">
      <w:start w:val="1"/>
      <w:numFmt w:val="lowerRoman"/>
      <w:lvlText w:val="%2."/>
      <w:lvlJc w:val="left"/>
      <w:pPr>
        <w:tabs>
          <w:tab w:val="num" w:pos="1440"/>
        </w:tabs>
        <w:ind w:left="1080" w:hanging="360"/>
      </w:pPr>
      <w:rPr>
        <w:rFonts w:hint="default"/>
        <w:b w:val="0"/>
        <w:i w:val="0"/>
      </w:rPr>
    </w:lvl>
    <w:lvl w:ilvl="2" w:tplc="C3EE0C0A">
      <w:start w:val="1"/>
      <w:numFmt w:val="lowerRoman"/>
      <w:lvlText w:val="(%3)"/>
      <w:lvlJc w:val="left"/>
      <w:pPr>
        <w:ind w:left="2340" w:hanging="720"/>
      </w:pPr>
      <w:rPr>
        <w:rFonts w:hint="default"/>
        <w:u w:val="none"/>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1A5A26DC"/>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1B4E27C7"/>
    <w:multiLevelType w:val="hybridMultilevel"/>
    <w:tmpl w:val="A32AF3BA"/>
    <w:lvl w:ilvl="0" w:tplc="04090001">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1E916806"/>
    <w:multiLevelType w:val="hybridMultilevel"/>
    <w:tmpl w:val="412822F8"/>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FCC04B1"/>
    <w:multiLevelType w:val="hybridMultilevel"/>
    <w:tmpl w:val="53EE65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201629E5"/>
    <w:multiLevelType w:val="hybridMultilevel"/>
    <w:tmpl w:val="F228A4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24935085"/>
    <w:multiLevelType w:val="hybridMultilevel"/>
    <w:tmpl w:val="67E06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E35B0B"/>
    <w:multiLevelType w:val="hybridMultilevel"/>
    <w:tmpl w:val="78246DE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24E521D2"/>
    <w:multiLevelType w:val="hybridMultilevel"/>
    <w:tmpl w:val="5F76CB4A"/>
    <w:lvl w:ilvl="0" w:tplc="6DEEDFAE">
      <w:start w:val="1"/>
      <w:numFmt w:val="upperLetter"/>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6E555A5"/>
    <w:multiLevelType w:val="hybridMultilevel"/>
    <w:tmpl w:val="A77E12D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6" w15:restartNumberingAfterBreak="0">
    <w:nsid w:val="28FB7022"/>
    <w:multiLevelType w:val="hybridMultilevel"/>
    <w:tmpl w:val="FD5653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2A2639A7"/>
    <w:multiLevelType w:val="hybridMultilevel"/>
    <w:tmpl w:val="DC4257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A7D4B55"/>
    <w:multiLevelType w:val="hybridMultilevel"/>
    <w:tmpl w:val="B0BA52F0"/>
    <w:lvl w:ilvl="0" w:tplc="18B06308">
      <w:start w:val="1"/>
      <w:numFmt w:val="lowerLetter"/>
      <w:lvlText w:val="%1."/>
      <w:lvlJc w:val="left"/>
      <w:pPr>
        <w:tabs>
          <w:tab w:val="num" w:pos="360"/>
        </w:tabs>
        <w:ind w:left="360" w:hanging="360"/>
      </w:pPr>
      <w:rPr>
        <w:rFonts w:hint="default"/>
      </w:rPr>
    </w:lvl>
    <w:lvl w:ilvl="1" w:tplc="18B06308">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2A8F6CB7"/>
    <w:multiLevelType w:val="hybridMultilevel"/>
    <w:tmpl w:val="F96AE906"/>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2AE30C61"/>
    <w:multiLevelType w:val="hybridMultilevel"/>
    <w:tmpl w:val="0B7E22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2B215165"/>
    <w:multiLevelType w:val="hybridMultilevel"/>
    <w:tmpl w:val="E98E8FF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F5D358F"/>
    <w:multiLevelType w:val="hybridMultilevel"/>
    <w:tmpl w:val="BCD00210"/>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3292538B"/>
    <w:multiLevelType w:val="hybridMultilevel"/>
    <w:tmpl w:val="99B2CC9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15:restartNumberingAfterBreak="0">
    <w:nsid w:val="32F93442"/>
    <w:multiLevelType w:val="hybridMultilevel"/>
    <w:tmpl w:val="00BA2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4CA6B52"/>
    <w:multiLevelType w:val="hybridMultilevel"/>
    <w:tmpl w:val="D9F4205A"/>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3C606219"/>
    <w:multiLevelType w:val="hybridMultilevel"/>
    <w:tmpl w:val="50181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E7F5DB3"/>
    <w:multiLevelType w:val="hybridMultilevel"/>
    <w:tmpl w:val="A914F8E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15:restartNumberingAfterBreak="0">
    <w:nsid w:val="3F380B85"/>
    <w:multiLevelType w:val="hybridMultilevel"/>
    <w:tmpl w:val="493CF74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15:restartNumberingAfterBreak="0">
    <w:nsid w:val="4053737B"/>
    <w:multiLevelType w:val="hybridMultilevel"/>
    <w:tmpl w:val="915E6CDA"/>
    <w:lvl w:ilvl="0" w:tplc="4A1A27EA">
      <w:start w:val="1"/>
      <w:numFmt w:val="decimal"/>
      <w:lvlText w:val="%1."/>
      <w:lvlJc w:val="left"/>
      <w:pPr>
        <w:ind w:left="108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A83077"/>
    <w:multiLevelType w:val="hybridMultilevel"/>
    <w:tmpl w:val="8ACC5D2A"/>
    <w:lvl w:ilvl="0" w:tplc="8CAC17F4">
      <w:start w:val="1"/>
      <w:numFmt w:val="decimal"/>
      <w:lvlText w:val="%1."/>
      <w:lvlJc w:val="left"/>
      <w:pPr>
        <w:tabs>
          <w:tab w:val="num" w:pos="360"/>
        </w:tabs>
        <w:ind w:left="360" w:hanging="360"/>
      </w:pPr>
      <w:rPr>
        <w:rFonts w:ascii="Calibri" w:hAnsi="Calibri" w:hint="default"/>
        <w:b w:val="0"/>
        <w:color w:val="auto"/>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15:restartNumberingAfterBreak="0">
    <w:nsid w:val="40F365D5"/>
    <w:multiLevelType w:val="hybridMultilevel"/>
    <w:tmpl w:val="D05C0578"/>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2C9A70C6">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41CA2948"/>
    <w:multiLevelType w:val="hybridMultilevel"/>
    <w:tmpl w:val="B6B0FC8A"/>
    <w:lvl w:ilvl="0" w:tplc="0409000F">
      <w:start w:val="1"/>
      <w:numFmt w:val="decimal"/>
      <w:lvlText w:val="%1."/>
      <w:lvlJc w:val="left"/>
      <w:pPr>
        <w:tabs>
          <w:tab w:val="num" w:pos="360"/>
        </w:tabs>
        <w:ind w:left="360" w:hanging="360"/>
      </w:pPr>
    </w:lvl>
    <w:lvl w:ilvl="1" w:tplc="2110CB70">
      <w:numFmt w:val="bullet"/>
      <w:lvlText w:val=""/>
      <w:lvlJc w:val="left"/>
      <w:pPr>
        <w:tabs>
          <w:tab w:val="num" w:pos="720"/>
        </w:tabs>
        <w:ind w:left="720" w:hanging="720"/>
      </w:pPr>
      <w:rPr>
        <w:rFonts w:ascii="Symbol" w:hAnsi="Symbol" w:hint="default"/>
      </w:rPr>
    </w:lvl>
    <w:lvl w:ilvl="2" w:tplc="E188A72C">
      <w:start w:val="20"/>
      <w:numFmt w:val="decimal"/>
      <w:lvlText w:val="%3"/>
      <w:lvlJc w:val="left"/>
      <w:pPr>
        <w:tabs>
          <w:tab w:val="num" w:pos="3240"/>
        </w:tabs>
        <w:ind w:left="3240" w:hanging="1440"/>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1CE4750"/>
    <w:multiLevelType w:val="hybridMultilevel"/>
    <w:tmpl w:val="1B784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2201325"/>
    <w:multiLevelType w:val="hybridMultilevel"/>
    <w:tmpl w:val="4F04B8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2F277AC"/>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43694E98"/>
    <w:multiLevelType w:val="hybridMultilevel"/>
    <w:tmpl w:val="C5A61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43CC270B"/>
    <w:multiLevelType w:val="hybridMultilevel"/>
    <w:tmpl w:val="1C64A6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44426908"/>
    <w:multiLevelType w:val="hybridMultilevel"/>
    <w:tmpl w:val="49E8B73E"/>
    <w:lvl w:ilvl="0" w:tplc="DC289D1E">
      <w:numFmt w:val="bullet"/>
      <w:lvlText w:val=""/>
      <w:lvlJc w:val="left"/>
      <w:pPr>
        <w:tabs>
          <w:tab w:val="num" w:pos="2922"/>
        </w:tabs>
        <w:ind w:left="2922" w:hanging="792"/>
      </w:pPr>
      <w:rPr>
        <w:rFonts w:ascii="Symbol" w:hAnsi="Symbol" w:hint="default"/>
      </w:rPr>
    </w:lvl>
    <w:lvl w:ilvl="1" w:tplc="04090003" w:tentative="1">
      <w:start w:val="1"/>
      <w:numFmt w:val="bullet"/>
      <w:lvlText w:val="o"/>
      <w:lvlJc w:val="left"/>
      <w:pPr>
        <w:tabs>
          <w:tab w:val="num" w:pos="2130"/>
        </w:tabs>
        <w:ind w:left="2130" w:hanging="360"/>
      </w:pPr>
      <w:rPr>
        <w:rFonts w:ascii="Courier New" w:hAnsi="Courier New" w:hint="default"/>
      </w:rPr>
    </w:lvl>
    <w:lvl w:ilvl="2" w:tplc="04090005" w:tentative="1">
      <w:start w:val="1"/>
      <w:numFmt w:val="bullet"/>
      <w:lvlText w:val=""/>
      <w:lvlJc w:val="left"/>
      <w:pPr>
        <w:tabs>
          <w:tab w:val="num" w:pos="2850"/>
        </w:tabs>
        <w:ind w:left="2850" w:hanging="360"/>
      </w:pPr>
      <w:rPr>
        <w:rFonts w:ascii="Wingdings" w:hAnsi="Wingdings" w:hint="default"/>
      </w:rPr>
    </w:lvl>
    <w:lvl w:ilvl="3" w:tplc="04090001" w:tentative="1">
      <w:start w:val="1"/>
      <w:numFmt w:val="bullet"/>
      <w:lvlText w:val=""/>
      <w:lvlJc w:val="left"/>
      <w:pPr>
        <w:tabs>
          <w:tab w:val="num" w:pos="3570"/>
        </w:tabs>
        <w:ind w:left="3570" w:hanging="360"/>
      </w:pPr>
      <w:rPr>
        <w:rFonts w:ascii="Symbol" w:hAnsi="Symbol" w:hint="default"/>
      </w:rPr>
    </w:lvl>
    <w:lvl w:ilvl="4" w:tplc="04090003" w:tentative="1">
      <w:start w:val="1"/>
      <w:numFmt w:val="bullet"/>
      <w:lvlText w:val="o"/>
      <w:lvlJc w:val="left"/>
      <w:pPr>
        <w:tabs>
          <w:tab w:val="num" w:pos="4290"/>
        </w:tabs>
        <w:ind w:left="4290" w:hanging="360"/>
      </w:pPr>
      <w:rPr>
        <w:rFonts w:ascii="Courier New" w:hAnsi="Courier New" w:hint="default"/>
      </w:rPr>
    </w:lvl>
    <w:lvl w:ilvl="5" w:tplc="04090005" w:tentative="1">
      <w:start w:val="1"/>
      <w:numFmt w:val="bullet"/>
      <w:lvlText w:val=""/>
      <w:lvlJc w:val="left"/>
      <w:pPr>
        <w:tabs>
          <w:tab w:val="num" w:pos="5010"/>
        </w:tabs>
        <w:ind w:left="5010" w:hanging="360"/>
      </w:pPr>
      <w:rPr>
        <w:rFonts w:ascii="Wingdings" w:hAnsi="Wingdings" w:hint="default"/>
      </w:rPr>
    </w:lvl>
    <w:lvl w:ilvl="6" w:tplc="04090001" w:tentative="1">
      <w:start w:val="1"/>
      <w:numFmt w:val="bullet"/>
      <w:lvlText w:val=""/>
      <w:lvlJc w:val="left"/>
      <w:pPr>
        <w:tabs>
          <w:tab w:val="num" w:pos="5730"/>
        </w:tabs>
        <w:ind w:left="5730" w:hanging="360"/>
      </w:pPr>
      <w:rPr>
        <w:rFonts w:ascii="Symbol" w:hAnsi="Symbol" w:hint="default"/>
      </w:rPr>
    </w:lvl>
    <w:lvl w:ilvl="7" w:tplc="04090003" w:tentative="1">
      <w:start w:val="1"/>
      <w:numFmt w:val="bullet"/>
      <w:lvlText w:val="o"/>
      <w:lvlJc w:val="left"/>
      <w:pPr>
        <w:tabs>
          <w:tab w:val="num" w:pos="6450"/>
        </w:tabs>
        <w:ind w:left="6450" w:hanging="360"/>
      </w:pPr>
      <w:rPr>
        <w:rFonts w:ascii="Courier New" w:hAnsi="Courier New" w:hint="default"/>
      </w:rPr>
    </w:lvl>
    <w:lvl w:ilvl="8" w:tplc="04090005" w:tentative="1">
      <w:start w:val="1"/>
      <w:numFmt w:val="bullet"/>
      <w:lvlText w:val=""/>
      <w:lvlJc w:val="left"/>
      <w:pPr>
        <w:tabs>
          <w:tab w:val="num" w:pos="7170"/>
        </w:tabs>
        <w:ind w:left="7170" w:hanging="360"/>
      </w:pPr>
      <w:rPr>
        <w:rFonts w:ascii="Wingdings" w:hAnsi="Wingdings" w:hint="default"/>
      </w:rPr>
    </w:lvl>
  </w:abstractNum>
  <w:abstractNum w:abstractNumId="59" w15:restartNumberingAfterBreak="0">
    <w:nsid w:val="474C6871"/>
    <w:multiLevelType w:val="hybridMultilevel"/>
    <w:tmpl w:val="280A8500"/>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47C04977"/>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4857003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49A761B4"/>
    <w:multiLevelType w:val="hybridMultilevel"/>
    <w:tmpl w:val="3CBE950A"/>
    <w:lvl w:ilvl="0" w:tplc="04090001">
      <w:start w:val="1"/>
      <w:numFmt w:val="bullet"/>
      <w:lvlText w:val=""/>
      <w:lvlJc w:val="left"/>
      <w:pPr>
        <w:tabs>
          <w:tab w:val="num" w:pos="360"/>
        </w:tabs>
        <w:ind w:left="360" w:hanging="360"/>
      </w:pPr>
      <w:rPr>
        <w:rFonts w:ascii="Symbol" w:hAnsi="Symbol" w:hint="default"/>
      </w:rPr>
    </w:lvl>
    <w:lvl w:ilvl="1" w:tplc="0492C13E">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49C37932"/>
    <w:multiLevelType w:val="hybridMultilevel"/>
    <w:tmpl w:val="42343F8E"/>
    <w:lvl w:ilvl="0" w:tplc="0409000F">
      <w:start w:val="1"/>
      <w:numFmt w:val="decimal"/>
      <w:lvlText w:val="%1."/>
      <w:lvlJc w:val="left"/>
      <w:pPr>
        <w:tabs>
          <w:tab w:val="num" w:pos="720"/>
        </w:tabs>
        <w:ind w:left="720" w:hanging="360"/>
      </w:pPr>
    </w:lvl>
    <w:lvl w:ilvl="1" w:tplc="9A54004E">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4B0A0AEE"/>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4B1D51E4"/>
    <w:multiLevelType w:val="hybridMultilevel"/>
    <w:tmpl w:val="96F6FB4A"/>
    <w:lvl w:ilvl="0" w:tplc="04090019">
      <w:start w:val="1"/>
      <w:numFmt w:val="lowerLetter"/>
      <w:lvlText w:val="%1."/>
      <w:lvlJc w:val="left"/>
      <w:pPr>
        <w:tabs>
          <w:tab w:val="num" w:pos="360"/>
        </w:tabs>
        <w:ind w:left="360" w:hanging="360"/>
      </w:p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6" w15:restartNumberingAfterBreak="0">
    <w:nsid w:val="4FC32DD3"/>
    <w:multiLevelType w:val="hybridMultilevel"/>
    <w:tmpl w:val="5F247BA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15:restartNumberingAfterBreak="0">
    <w:nsid w:val="51846F91"/>
    <w:multiLevelType w:val="hybridMultilevel"/>
    <w:tmpl w:val="DAF8DD28"/>
    <w:lvl w:ilvl="0" w:tplc="04090019">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19912C9"/>
    <w:multiLevelType w:val="hybridMultilevel"/>
    <w:tmpl w:val="B4E441D4"/>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9" w15:restartNumberingAfterBreak="0">
    <w:nsid w:val="52F26680"/>
    <w:multiLevelType w:val="hybridMultilevel"/>
    <w:tmpl w:val="166EE4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34F3640"/>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56B63AA1"/>
    <w:multiLevelType w:val="hybridMultilevel"/>
    <w:tmpl w:val="F78C74F0"/>
    <w:lvl w:ilvl="0" w:tplc="94ECB942">
      <w:start w:val="1"/>
      <w:numFmt w:val="bullet"/>
      <w:lvlText w:val=""/>
      <w:lvlJc w:val="left"/>
      <w:pPr>
        <w:tabs>
          <w:tab w:val="num" w:pos="1080"/>
        </w:tabs>
        <w:ind w:left="1080"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8754ADD"/>
    <w:multiLevelType w:val="hybridMultilevel"/>
    <w:tmpl w:val="99B2CC9A"/>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59281509"/>
    <w:multiLevelType w:val="hybridMultilevel"/>
    <w:tmpl w:val="DD406E74"/>
    <w:lvl w:ilvl="0" w:tplc="04090001">
      <w:start w:val="1"/>
      <w:numFmt w:val="bullet"/>
      <w:lvlText w:val=""/>
      <w:lvlJc w:val="left"/>
      <w:pPr>
        <w:tabs>
          <w:tab w:val="num" w:pos="720"/>
        </w:tabs>
        <w:ind w:left="720" w:hanging="360"/>
      </w:pPr>
      <w:rPr>
        <w:rFonts w:ascii="Symbol" w:hAnsi="Symbol" w:hint="default"/>
      </w:rPr>
    </w:lvl>
    <w:lvl w:ilvl="1" w:tplc="6DEEDFAE">
      <w:start w:val="1"/>
      <w:numFmt w:val="upp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5BA47F1C"/>
    <w:multiLevelType w:val="hybridMultilevel"/>
    <w:tmpl w:val="397CA688"/>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613B57B0"/>
    <w:multiLevelType w:val="hybridMultilevel"/>
    <w:tmpl w:val="71BEF3B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 w15:restartNumberingAfterBreak="0">
    <w:nsid w:val="649F706B"/>
    <w:multiLevelType w:val="hybridMultilevel"/>
    <w:tmpl w:val="EC8072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6B74461"/>
    <w:multiLevelType w:val="hybridMultilevel"/>
    <w:tmpl w:val="F774E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8BD716D"/>
    <w:multiLevelType w:val="hybridMultilevel"/>
    <w:tmpl w:val="588ED3A0"/>
    <w:lvl w:ilvl="0" w:tplc="DA1C21E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698F6B68"/>
    <w:multiLevelType w:val="hybridMultilevel"/>
    <w:tmpl w:val="6C5A3A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0" w15:restartNumberingAfterBreak="0">
    <w:nsid w:val="6A410CF3"/>
    <w:multiLevelType w:val="hybridMultilevel"/>
    <w:tmpl w:val="CC5C648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6C1820B4"/>
    <w:multiLevelType w:val="hybridMultilevel"/>
    <w:tmpl w:val="C53E67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11F7C17"/>
    <w:multiLevelType w:val="hybridMultilevel"/>
    <w:tmpl w:val="83027AE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3" w15:restartNumberingAfterBreak="0">
    <w:nsid w:val="731D0080"/>
    <w:multiLevelType w:val="hybridMultilevel"/>
    <w:tmpl w:val="AFC83CC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4" w15:restartNumberingAfterBreak="0">
    <w:nsid w:val="73B8212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74413D8E"/>
    <w:multiLevelType w:val="hybridMultilevel"/>
    <w:tmpl w:val="7BB08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6131383"/>
    <w:multiLevelType w:val="hybridMultilevel"/>
    <w:tmpl w:val="99ACC1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776D5231"/>
    <w:multiLevelType w:val="hybridMultilevel"/>
    <w:tmpl w:val="CEF08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90453B9"/>
    <w:multiLevelType w:val="hybridMultilevel"/>
    <w:tmpl w:val="656680C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7B6E724F"/>
    <w:multiLevelType w:val="hybridMultilevel"/>
    <w:tmpl w:val="46164F86"/>
    <w:lvl w:ilvl="0" w:tplc="0492C13E">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7BA2459D"/>
    <w:multiLevelType w:val="hybridMultilevel"/>
    <w:tmpl w:val="D64238C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F4964F3"/>
    <w:multiLevelType w:val="hybridMultilevel"/>
    <w:tmpl w:val="EB628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BC2804"/>
    <w:multiLevelType w:val="hybridMultilevel"/>
    <w:tmpl w:val="DA00B298"/>
    <w:lvl w:ilvl="0" w:tplc="0409000F">
      <w:start w:val="1"/>
      <w:numFmt w:val="decimal"/>
      <w:lvlText w:val="%1."/>
      <w:lvlJc w:val="left"/>
      <w:pPr>
        <w:tabs>
          <w:tab w:val="num" w:pos="720"/>
        </w:tabs>
        <w:ind w:left="720" w:hanging="360"/>
      </w:pPr>
      <w:rPr>
        <w:rFonts w:hint="default"/>
      </w:rPr>
    </w:lvl>
    <w:lvl w:ilvl="1" w:tplc="B176731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 w:ilvl="0">
        <w:start w:val="1"/>
        <w:numFmt w:val="decimal"/>
        <w:lvlText w:val="%1"/>
        <w:lvlJc w:val="left"/>
      </w:lvl>
    </w:lvlOverride>
    <w:lvlOverride w:ilvl="1">
      <w:startOverride w:val="2"/>
      <w:lvl w:ilvl="1">
        <w:start w:val="2"/>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lvl w:ilvl="0">
        <w:start w:val="2"/>
        <w:numFmt w:val="decimal"/>
        <w:pStyle w:val="Level1"/>
        <w:lvlText w:val="%1."/>
        <w:lvlJc w:val="left"/>
        <w:pPr>
          <w:tabs>
            <w:tab w:val="num" w:pos="0"/>
          </w:tabs>
          <w:ind w:left="0" w:firstLine="0"/>
        </w:pPr>
        <w:rPr>
          <w:rFonts w:hint="default"/>
        </w:rPr>
      </w:lvl>
    </w:lvlOverride>
    <w:lvlOverride w:ilvl="1">
      <w:lvl w:ilvl="1">
        <w:start w:val="1"/>
        <w:numFmt w:val="lowerLetter"/>
        <w:lvlText w:val="%2"/>
        <w:lvlJc w:val="left"/>
        <w:pPr>
          <w:tabs>
            <w:tab w:val="num" w:pos="360"/>
          </w:tabs>
          <w:ind w:left="0" w:firstLine="0"/>
        </w:pPr>
        <w:rPr>
          <w:rFonts w:hint="default"/>
        </w:rPr>
      </w:lvl>
    </w:lvlOverride>
    <w:lvlOverride w:ilvl="2">
      <w:lvl w:ilvl="2">
        <w:start w:val="1"/>
        <w:numFmt w:val="decimal"/>
        <w:pStyle w:val="Level3"/>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3">
    <w:abstractNumId w:val="54"/>
  </w:num>
  <w:num w:numId="4">
    <w:abstractNumId w:val="24"/>
  </w:num>
  <w:num w:numId="5">
    <w:abstractNumId w:val="76"/>
  </w:num>
  <w:num w:numId="6">
    <w:abstractNumId w:val="63"/>
  </w:num>
  <w:num w:numId="7">
    <w:abstractNumId w:val="22"/>
  </w:num>
  <w:num w:numId="8">
    <w:abstractNumId w:val="79"/>
  </w:num>
  <w:num w:numId="9">
    <w:abstractNumId w:val="86"/>
  </w:num>
  <w:num w:numId="10">
    <w:abstractNumId w:val="90"/>
  </w:num>
  <w:num w:numId="11">
    <w:abstractNumId w:val="33"/>
  </w:num>
  <w:num w:numId="12">
    <w:abstractNumId w:val="25"/>
  </w:num>
  <w:num w:numId="13">
    <w:abstractNumId w:val="57"/>
  </w:num>
  <w:num w:numId="14">
    <w:abstractNumId w:val="3"/>
  </w:num>
  <w:num w:numId="15">
    <w:abstractNumId w:val="26"/>
  </w:num>
  <w:num w:numId="16">
    <w:abstractNumId w:val="62"/>
  </w:num>
  <w:num w:numId="17">
    <w:abstractNumId w:val="73"/>
  </w:num>
  <w:num w:numId="18">
    <w:abstractNumId w:val="30"/>
  </w:num>
  <w:num w:numId="19">
    <w:abstractNumId w:val="84"/>
  </w:num>
  <w:num w:numId="20">
    <w:abstractNumId w:val="60"/>
  </w:num>
  <w:num w:numId="21">
    <w:abstractNumId w:val="14"/>
  </w:num>
  <w:num w:numId="22">
    <w:abstractNumId w:val="55"/>
  </w:num>
  <w:num w:numId="23">
    <w:abstractNumId w:val="70"/>
  </w:num>
  <w:num w:numId="24">
    <w:abstractNumId w:val="12"/>
  </w:num>
  <w:num w:numId="25">
    <w:abstractNumId w:val="21"/>
  </w:num>
  <w:num w:numId="26">
    <w:abstractNumId w:val="61"/>
  </w:num>
  <w:num w:numId="27">
    <w:abstractNumId w:val="44"/>
  </w:num>
  <w:num w:numId="28">
    <w:abstractNumId w:val="42"/>
  </w:num>
  <w:num w:numId="29">
    <w:abstractNumId w:val="87"/>
  </w:num>
  <w:num w:numId="30">
    <w:abstractNumId w:val="91"/>
  </w:num>
  <w:num w:numId="31">
    <w:abstractNumId w:val="92"/>
  </w:num>
  <w:num w:numId="32">
    <w:abstractNumId w:val="69"/>
  </w:num>
  <w:num w:numId="33">
    <w:abstractNumId w:val="38"/>
  </w:num>
  <w:num w:numId="34">
    <w:abstractNumId w:val="27"/>
  </w:num>
  <w:num w:numId="35">
    <w:abstractNumId w:val="9"/>
  </w:num>
  <w:num w:numId="36">
    <w:abstractNumId w:val="64"/>
  </w:num>
  <w:num w:numId="37">
    <w:abstractNumId w:val="4"/>
  </w:num>
  <w:num w:numId="38">
    <w:abstractNumId w:val="5"/>
  </w:num>
  <w:num w:numId="39">
    <w:abstractNumId w:val="81"/>
  </w:num>
  <w:num w:numId="40">
    <w:abstractNumId w:val="53"/>
  </w:num>
  <w:num w:numId="41">
    <w:abstractNumId w:val="58"/>
  </w:num>
  <w:num w:numId="42">
    <w:abstractNumId w:val="52"/>
  </w:num>
  <w:num w:numId="43">
    <w:abstractNumId w:val="17"/>
  </w:num>
  <w:num w:numId="44">
    <w:abstractNumId w:val="18"/>
  </w:num>
  <w:num w:numId="45">
    <w:abstractNumId w:val="6"/>
  </w:num>
  <w:num w:numId="46">
    <w:abstractNumId w:val="11"/>
  </w:num>
  <w:num w:numId="47">
    <w:abstractNumId w:val="40"/>
  </w:num>
  <w:num w:numId="48">
    <w:abstractNumId w:val="34"/>
  </w:num>
  <w:num w:numId="49">
    <w:abstractNumId w:val="56"/>
  </w:num>
  <w:num w:numId="50">
    <w:abstractNumId w:val="8"/>
  </w:num>
  <w:num w:numId="51">
    <w:abstractNumId w:val="72"/>
  </w:num>
  <w:num w:numId="52">
    <w:abstractNumId w:val="43"/>
  </w:num>
  <w:num w:numId="53">
    <w:abstractNumId w:val="80"/>
  </w:num>
  <w:num w:numId="54">
    <w:abstractNumId w:val="51"/>
  </w:num>
  <w:num w:numId="55">
    <w:abstractNumId w:val="89"/>
  </w:num>
  <w:num w:numId="56">
    <w:abstractNumId w:val="29"/>
  </w:num>
  <w:num w:numId="57">
    <w:abstractNumId w:val="59"/>
  </w:num>
  <w:num w:numId="58">
    <w:abstractNumId w:val="19"/>
  </w:num>
  <w:num w:numId="59">
    <w:abstractNumId w:val="82"/>
  </w:num>
  <w:num w:numId="60">
    <w:abstractNumId w:val="47"/>
  </w:num>
  <w:num w:numId="61">
    <w:abstractNumId w:val="50"/>
  </w:num>
  <w:num w:numId="62">
    <w:abstractNumId w:val="39"/>
  </w:num>
  <w:num w:numId="63">
    <w:abstractNumId w:val="45"/>
  </w:num>
  <w:num w:numId="64">
    <w:abstractNumId w:val="68"/>
  </w:num>
  <w:num w:numId="65">
    <w:abstractNumId w:val="75"/>
  </w:num>
  <w:num w:numId="66">
    <w:abstractNumId w:val="10"/>
  </w:num>
  <w:num w:numId="67">
    <w:abstractNumId w:val="49"/>
  </w:num>
  <w:num w:numId="68">
    <w:abstractNumId w:val="71"/>
  </w:num>
  <w:num w:numId="69">
    <w:abstractNumId w:val="78"/>
  </w:num>
  <w:num w:numId="70">
    <w:abstractNumId w:val="65"/>
  </w:num>
  <w:num w:numId="71">
    <w:abstractNumId w:val="16"/>
  </w:num>
  <w:num w:numId="72">
    <w:abstractNumId w:val="20"/>
  </w:num>
  <w:num w:numId="73">
    <w:abstractNumId w:val="23"/>
  </w:num>
  <w:num w:numId="74">
    <w:abstractNumId w:val="67"/>
  </w:num>
  <w:num w:numId="75">
    <w:abstractNumId w:val="28"/>
  </w:num>
  <w:num w:numId="76">
    <w:abstractNumId w:val="36"/>
  </w:num>
  <w:num w:numId="77">
    <w:abstractNumId w:val="66"/>
  </w:num>
  <w:num w:numId="78">
    <w:abstractNumId w:val="32"/>
  </w:num>
  <w:num w:numId="79">
    <w:abstractNumId w:val="31"/>
  </w:num>
  <w:num w:numId="80">
    <w:abstractNumId w:val="41"/>
  </w:num>
  <w:num w:numId="81">
    <w:abstractNumId w:val="77"/>
  </w:num>
  <w:num w:numId="82">
    <w:abstractNumId w:val="2"/>
  </w:num>
  <w:num w:numId="83">
    <w:abstractNumId w:val="88"/>
  </w:num>
  <w:num w:numId="84">
    <w:abstractNumId w:val="85"/>
  </w:num>
  <w:num w:numId="85">
    <w:abstractNumId w:val="46"/>
  </w:num>
  <w:num w:numId="86">
    <w:abstractNumId w:val="37"/>
  </w:num>
  <w:num w:numId="87">
    <w:abstractNumId w:val="15"/>
  </w:num>
  <w:num w:numId="88">
    <w:abstractNumId w:val="83"/>
  </w:num>
  <w:num w:numId="89">
    <w:abstractNumId w:val="48"/>
  </w:num>
  <w:num w:numId="90">
    <w:abstractNumId w:val="7"/>
  </w:num>
  <w:num w:numId="91">
    <w:abstractNumId w:val="74"/>
  </w:num>
  <w:num w:numId="92">
    <w:abstractNumId w:val="35"/>
  </w:num>
  <w:num w:numId="93">
    <w:abstractNumId w:val="1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en-US" w:vendorID="64" w:dllVersion="131078" w:nlCheck="1" w:checkStyle="1"/>
  <w:activeWritingStyle w:appName="MSWord" w:lang="en-US" w:vendorID="64" w:dllVersion="131077" w:nlCheck="1" w:checkStyle="1"/>
  <w:activeWritingStyle w:appName="MSWord" w:lang="en-CA"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3E7"/>
    <w:rsid w:val="00007386"/>
    <w:rsid w:val="00013018"/>
    <w:rsid w:val="000357C5"/>
    <w:rsid w:val="00065317"/>
    <w:rsid w:val="000738A5"/>
    <w:rsid w:val="00077B91"/>
    <w:rsid w:val="00081BF8"/>
    <w:rsid w:val="000877E1"/>
    <w:rsid w:val="000B3D10"/>
    <w:rsid w:val="000B4AD8"/>
    <w:rsid w:val="000D279E"/>
    <w:rsid w:val="000F02E5"/>
    <w:rsid w:val="000F4DC7"/>
    <w:rsid w:val="00103806"/>
    <w:rsid w:val="001206CE"/>
    <w:rsid w:val="00124E30"/>
    <w:rsid w:val="001368E7"/>
    <w:rsid w:val="00144094"/>
    <w:rsid w:val="00152F12"/>
    <w:rsid w:val="001565F5"/>
    <w:rsid w:val="00171503"/>
    <w:rsid w:val="001A0498"/>
    <w:rsid w:val="001E424F"/>
    <w:rsid w:val="001E4C9D"/>
    <w:rsid w:val="001E63E7"/>
    <w:rsid w:val="00202C3B"/>
    <w:rsid w:val="002038C0"/>
    <w:rsid w:val="00223E6D"/>
    <w:rsid w:val="00231084"/>
    <w:rsid w:val="00243C9E"/>
    <w:rsid w:val="00254458"/>
    <w:rsid w:val="002804D2"/>
    <w:rsid w:val="002A0C04"/>
    <w:rsid w:val="002B3F0A"/>
    <w:rsid w:val="002B5D17"/>
    <w:rsid w:val="002B6CE4"/>
    <w:rsid w:val="002C179F"/>
    <w:rsid w:val="002D3DB7"/>
    <w:rsid w:val="002D6D8B"/>
    <w:rsid w:val="002D76A0"/>
    <w:rsid w:val="002D76E8"/>
    <w:rsid w:val="003177B4"/>
    <w:rsid w:val="00370825"/>
    <w:rsid w:val="00390EB3"/>
    <w:rsid w:val="00395E2D"/>
    <w:rsid w:val="003A1466"/>
    <w:rsid w:val="003B7A3F"/>
    <w:rsid w:val="003C22DE"/>
    <w:rsid w:val="003C3EBB"/>
    <w:rsid w:val="003E2766"/>
    <w:rsid w:val="003E5062"/>
    <w:rsid w:val="003E662C"/>
    <w:rsid w:val="004039E4"/>
    <w:rsid w:val="00405F61"/>
    <w:rsid w:val="004064A4"/>
    <w:rsid w:val="00423478"/>
    <w:rsid w:val="00446101"/>
    <w:rsid w:val="004613AD"/>
    <w:rsid w:val="004642E2"/>
    <w:rsid w:val="0048119E"/>
    <w:rsid w:val="004A3193"/>
    <w:rsid w:val="004C2F12"/>
    <w:rsid w:val="004E7A4E"/>
    <w:rsid w:val="004F1527"/>
    <w:rsid w:val="00502D6B"/>
    <w:rsid w:val="00507F5F"/>
    <w:rsid w:val="00517118"/>
    <w:rsid w:val="005242A5"/>
    <w:rsid w:val="00542A17"/>
    <w:rsid w:val="00542D86"/>
    <w:rsid w:val="005744CC"/>
    <w:rsid w:val="00583607"/>
    <w:rsid w:val="005A5A09"/>
    <w:rsid w:val="005B4C34"/>
    <w:rsid w:val="005B4CAB"/>
    <w:rsid w:val="005D0387"/>
    <w:rsid w:val="005D7449"/>
    <w:rsid w:val="005E7B3C"/>
    <w:rsid w:val="006069BF"/>
    <w:rsid w:val="00615653"/>
    <w:rsid w:val="006249A5"/>
    <w:rsid w:val="00630403"/>
    <w:rsid w:val="00633475"/>
    <w:rsid w:val="0064166F"/>
    <w:rsid w:val="00651F8D"/>
    <w:rsid w:val="00653DA7"/>
    <w:rsid w:val="00653EF5"/>
    <w:rsid w:val="0066556A"/>
    <w:rsid w:val="006711FC"/>
    <w:rsid w:val="00683BCF"/>
    <w:rsid w:val="006A2455"/>
    <w:rsid w:val="006A24D1"/>
    <w:rsid w:val="006A6A26"/>
    <w:rsid w:val="006D43D7"/>
    <w:rsid w:val="006D7BB5"/>
    <w:rsid w:val="006F68A5"/>
    <w:rsid w:val="00704F41"/>
    <w:rsid w:val="007206CA"/>
    <w:rsid w:val="00727A23"/>
    <w:rsid w:val="00741017"/>
    <w:rsid w:val="007435BB"/>
    <w:rsid w:val="00746CE6"/>
    <w:rsid w:val="00751C70"/>
    <w:rsid w:val="007B287E"/>
    <w:rsid w:val="007C21A9"/>
    <w:rsid w:val="007F7A22"/>
    <w:rsid w:val="00801554"/>
    <w:rsid w:val="00803AFE"/>
    <w:rsid w:val="00806678"/>
    <w:rsid w:val="008260CD"/>
    <w:rsid w:val="00830A80"/>
    <w:rsid w:val="00842E17"/>
    <w:rsid w:val="00855673"/>
    <w:rsid w:val="00871691"/>
    <w:rsid w:val="008729DF"/>
    <w:rsid w:val="00897F90"/>
    <w:rsid w:val="008B1419"/>
    <w:rsid w:val="008C021A"/>
    <w:rsid w:val="008C1A59"/>
    <w:rsid w:val="008D60F1"/>
    <w:rsid w:val="008F0348"/>
    <w:rsid w:val="00903250"/>
    <w:rsid w:val="00930A39"/>
    <w:rsid w:val="00934E87"/>
    <w:rsid w:val="0094675C"/>
    <w:rsid w:val="0095033F"/>
    <w:rsid w:val="009629A9"/>
    <w:rsid w:val="009651BF"/>
    <w:rsid w:val="009743F0"/>
    <w:rsid w:val="0098170E"/>
    <w:rsid w:val="0099189D"/>
    <w:rsid w:val="009C3357"/>
    <w:rsid w:val="009E5C71"/>
    <w:rsid w:val="00A004CF"/>
    <w:rsid w:val="00A27C7D"/>
    <w:rsid w:val="00A514AC"/>
    <w:rsid w:val="00A51CF1"/>
    <w:rsid w:val="00A70E4D"/>
    <w:rsid w:val="00AA0DC8"/>
    <w:rsid w:val="00AA2953"/>
    <w:rsid w:val="00AB1F96"/>
    <w:rsid w:val="00B00525"/>
    <w:rsid w:val="00B019F7"/>
    <w:rsid w:val="00B032E0"/>
    <w:rsid w:val="00B17C8D"/>
    <w:rsid w:val="00B23516"/>
    <w:rsid w:val="00B248BE"/>
    <w:rsid w:val="00B35E5E"/>
    <w:rsid w:val="00B54069"/>
    <w:rsid w:val="00B97164"/>
    <w:rsid w:val="00BA0C86"/>
    <w:rsid w:val="00BC3541"/>
    <w:rsid w:val="00BC734E"/>
    <w:rsid w:val="00BC7BCE"/>
    <w:rsid w:val="00BD4ED9"/>
    <w:rsid w:val="00BF3293"/>
    <w:rsid w:val="00C37C6F"/>
    <w:rsid w:val="00C40733"/>
    <w:rsid w:val="00C43900"/>
    <w:rsid w:val="00C51179"/>
    <w:rsid w:val="00C64F50"/>
    <w:rsid w:val="00C75B84"/>
    <w:rsid w:val="00C90E6B"/>
    <w:rsid w:val="00CC1EE5"/>
    <w:rsid w:val="00CD5F63"/>
    <w:rsid w:val="00CF3415"/>
    <w:rsid w:val="00D03448"/>
    <w:rsid w:val="00D17095"/>
    <w:rsid w:val="00D20C4C"/>
    <w:rsid w:val="00D26731"/>
    <w:rsid w:val="00D272B0"/>
    <w:rsid w:val="00D32853"/>
    <w:rsid w:val="00D55665"/>
    <w:rsid w:val="00D60821"/>
    <w:rsid w:val="00D740BA"/>
    <w:rsid w:val="00DB532D"/>
    <w:rsid w:val="00DB67A8"/>
    <w:rsid w:val="00DC35BD"/>
    <w:rsid w:val="00DD1421"/>
    <w:rsid w:val="00DD1DF6"/>
    <w:rsid w:val="00DF0C6A"/>
    <w:rsid w:val="00DF7799"/>
    <w:rsid w:val="00E01C70"/>
    <w:rsid w:val="00E06F4A"/>
    <w:rsid w:val="00E11AD5"/>
    <w:rsid w:val="00E21184"/>
    <w:rsid w:val="00E24E48"/>
    <w:rsid w:val="00E26CEF"/>
    <w:rsid w:val="00E32B68"/>
    <w:rsid w:val="00E568C7"/>
    <w:rsid w:val="00E6075F"/>
    <w:rsid w:val="00E7170F"/>
    <w:rsid w:val="00E76294"/>
    <w:rsid w:val="00E81021"/>
    <w:rsid w:val="00E922CA"/>
    <w:rsid w:val="00EA4B4D"/>
    <w:rsid w:val="00EB028B"/>
    <w:rsid w:val="00EB116F"/>
    <w:rsid w:val="00ED25CA"/>
    <w:rsid w:val="00ED2F98"/>
    <w:rsid w:val="00EF64F1"/>
    <w:rsid w:val="00EF6802"/>
    <w:rsid w:val="00F02BC9"/>
    <w:rsid w:val="00F16149"/>
    <w:rsid w:val="00F37C60"/>
    <w:rsid w:val="00F447D1"/>
    <w:rsid w:val="00F54C8F"/>
    <w:rsid w:val="00F57F77"/>
    <w:rsid w:val="00F80275"/>
    <w:rsid w:val="00F865F2"/>
    <w:rsid w:val="00F94124"/>
    <w:rsid w:val="00F94500"/>
    <w:rsid w:val="00FA00B4"/>
    <w:rsid w:val="00FA5CF1"/>
    <w:rsid w:val="00FA683E"/>
    <w:rsid w:val="00FB36A7"/>
    <w:rsid w:val="00FD102C"/>
    <w:rsid w:val="00FD688D"/>
    <w:rsid w:val="00FE3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7FD77EB5-3E1C-4C03-B1E6-22845E9D4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rFonts w:ascii="Courier New" w:hAnsi="Courier New"/>
      <w:b/>
      <w:smallCaps/>
      <w:sz w:val="32"/>
    </w:rPr>
  </w:style>
  <w:style w:type="paragraph" w:styleId="Heading2">
    <w:name w:val="heading 2"/>
    <w:basedOn w:val="Normal"/>
    <w:next w:val="Normal"/>
    <w:link w:val="Heading2Char"/>
    <w:qFormat/>
    <w:pPr>
      <w:keepNext/>
      <w:outlineLvl w:val="1"/>
    </w:pPr>
    <w:rPr>
      <w:rFonts w:ascii="BankGothic Md BT" w:hAnsi="BankGothic Md BT"/>
      <w:b/>
      <w:smallCaps/>
      <w:sz w:val="28"/>
    </w:rPr>
  </w:style>
  <w:style w:type="paragraph" w:styleId="Heading3">
    <w:name w:val="heading 3"/>
    <w:basedOn w:val="Normal"/>
    <w:next w:val="Normal"/>
    <w:link w:val="Heading3Char"/>
    <w:qFormat/>
    <w:pPr>
      <w:keepNext/>
      <w:jc w:val="center"/>
      <w:outlineLvl w:val="2"/>
    </w:pPr>
    <w:rPr>
      <w:rFonts w:ascii="BankGothic Md BT" w:hAnsi="BankGothic Md BT"/>
      <w:b/>
      <w:smallCaps/>
      <w:sz w:val="32"/>
    </w:rPr>
  </w:style>
  <w:style w:type="paragraph" w:styleId="Heading4">
    <w:name w:val="heading 4"/>
    <w:basedOn w:val="Normal"/>
    <w:next w:val="Normal"/>
    <w:link w:val="Heading4Char"/>
    <w:qFormat/>
    <w:pPr>
      <w:keepNext/>
      <w:jc w:val="center"/>
      <w:outlineLvl w:val="3"/>
    </w:pPr>
    <w:rPr>
      <w:b/>
      <w:smallCaps/>
    </w:rPr>
  </w:style>
  <w:style w:type="paragraph" w:styleId="Heading5">
    <w:name w:val="heading 5"/>
    <w:basedOn w:val="Normal"/>
    <w:next w:val="Normal"/>
    <w:link w:val="Heading5Char"/>
    <w:qFormat/>
    <w:pPr>
      <w:keepNext/>
      <w:ind w:left="720" w:right="720"/>
      <w:outlineLvl w:val="4"/>
    </w:pPr>
    <w:rPr>
      <w:b/>
      <w:bCs/>
      <w:sz w:val="22"/>
    </w:rPr>
  </w:style>
  <w:style w:type="paragraph" w:styleId="Heading6">
    <w:name w:val="heading 6"/>
    <w:basedOn w:val="Normal"/>
    <w:next w:val="Normal"/>
    <w:link w:val="Heading6Char"/>
    <w:qFormat/>
    <w:pPr>
      <w:keepNext/>
      <w:ind w:left="720" w:right="-180"/>
      <w:outlineLvl w:val="5"/>
    </w:pPr>
    <w:rPr>
      <w:b/>
      <w:bCs/>
      <w:sz w:val="22"/>
    </w:rPr>
  </w:style>
  <w:style w:type="paragraph" w:styleId="Heading7">
    <w:name w:val="heading 7"/>
    <w:basedOn w:val="Normal"/>
    <w:next w:val="Normal"/>
    <w:link w:val="Heading7Char"/>
    <w:qFormat/>
    <w:pPr>
      <w:keepNext/>
      <w:ind w:left="720" w:right="-360"/>
      <w:outlineLvl w:val="6"/>
    </w:pPr>
    <w:rPr>
      <w:b/>
      <w:bCs/>
      <w:sz w:val="22"/>
    </w:rPr>
  </w:style>
  <w:style w:type="paragraph" w:styleId="Heading8">
    <w:name w:val="heading 8"/>
    <w:basedOn w:val="Normal"/>
    <w:next w:val="Normal"/>
    <w:link w:val="Heading8Char"/>
    <w:qFormat/>
    <w:pPr>
      <w:keepNext/>
      <w:tabs>
        <w:tab w:val="left" w:pos="9360"/>
      </w:tabs>
      <w:ind w:left="720" w:right="-540"/>
      <w:outlineLvl w:val="7"/>
    </w:pPr>
    <w:rPr>
      <w:b/>
      <w:bCs/>
      <w:sz w:val="22"/>
    </w:rPr>
  </w:style>
  <w:style w:type="paragraph" w:styleId="Heading9">
    <w:name w:val="heading 9"/>
    <w:basedOn w:val="Normal"/>
    <w:next w:val="Normal"/>
    <w:link w:val="Heading9Char"/>
    <w:qFormat/>
    <w:pPr>
      <w:keepNext/>
      <w:ind w:left="720" w:right="-720"/>
      <w:outlineLvl w:val="8"/>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tabs>
        <w:tab w:val="left" w:pos="9360"/>
      </w:tabs>
      <w:ind w:left="720" w:right="720"/>
    </w:pPr>
    <w:rPr>
      <w:b/>
      <w:bCs/>
      <w:sz w:val="22"/>
    </w:rPr>
  </w:style>
  <w:style w:type="paragraph" w:styleId="Title">
    <w:name w:val="Title"/>
    <w:basedOn w:val="Normal"/>
    <w:link w:val="TitleChar"/>
    <w:qFormat/>
    <w:pPr>
      <w:widowControl w:val="0"/>
      <w:autoSpaceDE w:val="0"/>
      <w:autoSpaceDN w:val="0"/>
      <w:adjustRightInd w:val="0"/>
      <w:jc w:val="center"/>
    </w:pPr>
    <w:rPr>
      <w:rFonts w:cs="Arial"/>
      <w:sz w:val="72"/>
      <w:szCs w:val="80"/>
    </w:rPr>
  </w:style>
  <w:style w:type="paragraph" w:styleId="BodyTextIndent">
    <w:name w:val="Body Text Indent"/>
    <w:basedOn w:val="Normal"/>
    <w:link w:val="BodyTextIndentChar"/>
    <w:pPr>
      <w:ind w:left="720"/>
    </w:pPr>
    <w:rPr>
      <w:szCs w:val="20"/>
    </w:rPr>
  </w:style>
  <w:style w:type="paragraph" w:styleId="TOC2">
    <w:name w:val="toc 2"/>
    <w:basedOn w:val="Normal"/>
    <w:next w:val="Normal"/>
    <w:autoRedefine/>
    <w:semiHidden/>
    <w:pPr>
      <w:widowControl w:val="0"/>
      <w:autoSpaceDE w:val="0"/>
      <w:autoSpaceDN w:val="0"/>
      <w:adjustRightInd w:val="0"/>
      <w:spacing w:line="280" w:lineRule="exact"/>
      <w:ind w:firstLine="720"/>
    </w:pPr>
    <w:rPr>
      <w:rFonts w:ascii="Arial" w:hAnsi="Arial" w:cs="Arial"/>
      <w:sz w:val="20"/>
      <w:szCs w:val="20"/>
    </w:rPr>
  </w:style>
  <w:style w:type="paragraph" w:customStyle="1" w:styleId="a">
    <w:name w:val="_"/>
    <w:basedOn w:val="Normal"/>
    <w:pPr>
      <w:widowControl w:val="0"/>
      <w:autoSpaceDE w:val="0"/>
      <w:autoSpaceDN w:val="0"/>
      <w:adjustRightInd w:val="0"/>
      <w:ind w:left="1440" w:hanging="720"/>
    </w:pPr>
    <w:rPr>
      <w:sz w:val="20"/>
    </w:rPr>
  </w:style>
  <w:style w:type="paragraph" w:styleId="BodyTextIndent2">
    <w:name w:val="Body Text Indent 2"/>
    <w:basedOn w:val="Normal"/>
    <w:link w:val="BodyTextIndent2Char"/>
    <w:pPr>
      <w:tabs>
        <w:tab w:val="left" w:pos="-1440"/>
      </w:tabs>
      <w:spacing w:line="280" w:lineRule="exact"/>
      <w:ind w:left="720" w:hanging="720"/>
    </w:pPr>
    <w:rPr>
      <w:rFonts w:ascii="Arial" w:hAnsi="Arial" w:cs="Arial"/>
      <w:szCs w:val="20"/>
    </w:rPr>
  </w:style>
  <w:style w:type="paragraph" w:styleId="BodyText3">
    <w:name w:val="Body Text 3"/>
    <w:basedOn w:val="Normal"/>
    <w:link w:val="BodyText3Char"/>
    <w:pPr>
      <w:widowControl w:val="0"/>
      <w:autoSpaceDE w:val="0"/>
      <w:autoSpaceDN w:val="0"/>
      <w:adjustRightInd w:val="0"/>
      <w:jc w:val="center"/>
    </w:pPr>
    <w:rPr>
      <w:rFonts w:ascii="Arial" w:hAnsi="Arial" w:cs="Arial"/>
      <w:sz w:val="20"/>
    </w:rPr>
  </w:style>
  <w:style w:type="paragraph" w:styleId="BodyTextIndent3">
    <w:name w:val="Body Text Indent 3"/>
    <w:basedOn w:val="Normal"/>
    <w:link w:val="BodyTextIndent3Char"/>
    <w:pPr>
      <w:ind w:firstLine="720"/>
      <w:jc w:val="both"/>
    </w:pPr>
    <w:rPr>
      <w:szCs w:val="20"/>
    </w:rPr>
  </w:style>
  <w:style w:type="paragraph" w:styleId="Footer">
    <w:name w:val="footer"/>
    <w:basedOn w:val="Normal"/>
    <w:link w:val="FooterChar"/>
    <w:pPr>
      <w:widowControl w:val="0"/>
      <w:tabs>
        <w:tab w:val="center" w:pos="4320"/>
        <w:tab w:val="right" w:pos="8640"/>
      </w:tabs>
      <w:autoSpaceDE w:val="0"/>
      <w:autoSpaceDN w:val="0"/>
      <w:adjustRightInd w:val="0"/>
    </w:pPr>
    <w:rPr>
      <w:sz w:val="20"/>
      <w:lang w:val="x-none" w:eastAsia="x-none"/>
    </w:rPr>
  </w:style>
  <w:style w:type="paragraph" w:customStyle="1" w:styleId="Level1">
    <w:name w:val="Level 1"/>
    <w:basedOn w:val="Normal"/>
    <w:pPr>
      <w:widowControl w:val="0"/>
      <w:numPr>
        <w:numId w:val="2"/>
      </w:numPr>
      <w:autoSpaceDE w:val="0"/>
      <w:autoSpaceDN w:val="0"/>
      <w:adjustRightInd w:val="0"/>
      <w:ind w:left="2160" w:hanging="720"/>
      <w:outlineLvl w:val="0"/>
    </w:pPr>
    <w:rPr>
      <w:sz w:val="20"/>
    </w:rPr>
  </w:style>
  <w:style w:type="paragraph" w:customStyle="1" w:styleId="Level3">
    <w:name w:val="Level 3"/>
    <w:basedOn w:val="Normal"/>
    <w:pPr>
      <w:widowControl w:val="0"/>
      <w:numPr>
        <w:ilvl w:val="2"/>
        <w:numId w:val="2"/>
      </w:numPr>
      <w:autoSpaceDE w:val="0"/>
      <w:autoSpaceDN w:val="0"/>
      <w:adjustRightInd w:val="0"/>
      <w:ind w:left="2160" w:hanging="720"/>
      <w:outlineLvl w:val="2"/>
    </w:pPr>
    <w:rPr>
      <w:sz w:val="20"/>
    </w:rPr>
  </w:style>
  <w:style w:type="paragraph" w:customStyle="1" w:styleId="Level2">
    <w:name w:val="Level 2"/>
    <w:basedOn w:val="Normal"/>
    <w:pPr>
      <w:widowControl w:val="0"/>
      <w:numPr>
        <w:ilvl w:val="1"/>
        <w:numId w:val="1"/>
      </w:numPr>
      <w:autoSpaceDE w:val="0"/>
      <w:autoSpaceDN w:val="0"/>
      <w:adjustRightInd w:val="0"/>
      <w:ind w:left="1440" w:hanging="720"/>
      <w:outlineLvl w:val="1"/>
    </w:pPr>
    <w:rPr>
      <w:sz w:val="20"/>
    </w:rPr>
  </w:style>
  <w:style w:type="character" w:styleId="FollowedHyperlink">
    <w:name w:val="FollowedHyperlink"/>
    <w:rPr>
      <w:color w:val="800080"/>
      <w:u w:val="single"/>
    </w:rPr>
  </w:style>
  <w:style w:type="paragraph" w:styleId="BodyText">
    <w:name w:val="Body Text"/>
    <w:basedOn w:val="Normal"/>
    <w:pPr>
      <w:widowControl w:val="0"/>
      <w:tabs>
        <w:tab w:val="left" w:pos="-466"/>
        <w:tab w:val="left" w:pos="0"/>
        <w:tab w:val="left" w:pos="720"/>
        <w:tab w:val="left" w:pos="1154"/>
        <w:tab w:val="left" w:pos="1803"/>
        <w:tab w:val="left" w:pos="2880"/>
        <w:tab w:val="left" w:pos="3790"/>
        <w:tab w:val="left" w:pos="4320"/>
        <w:tab w:val="left" w:pos="5040"/>
        <w:tab w:val="left" w:pos="5760"/>
        <w:tab w:val="left" w:pos="6480"/>
        <w:tab w:val="left" w:pos="7200"/>
        <w:tab w:val="left" w:pos="7653"/>
        <w:tab w:val="left" w:pos="8640"/>
        <w:tab w:val="left" w:pos="9360"/>
        <w:tab w:val="left" w:pos="10080"/>
      </w:tabs>
      <w:autoSpaceDE w:val="0"/>
      <w:autoSpaceDN w:val="0"/>
      <w:adjustRightInd w:val="0"/>
    </w:pPr>
    <w:rPr>
      <w:rFonts w:ascii="Arial" w:hAnsi="Arial" w:cs="Arial"/>
      <w:sz w:val="18"/>
      <w:szCs w:val="18"/>
    </w:rPr>
  </w:style>
  <w:style w:type="paragraph" w:styleId="Caption">
    <w:name w:val="caption"/>
    <w:basedOn w:val="Normal"/>
    <w:next w:val="Normal"/>
    <w:qFormat/>
    <w:pPr>
      <w:widowControl w:val="0"/>
      <w:tabs>
        <w:tab w:val="left" w:pos="-466"/>
        <w:tab w:val="left" w:pos="0"/>
        <w:tab w:val="left" w:pos="720"/>
        <w:tab w:val="left" w:pos="1154"/>
        <w:tab w:val="left" w:pos="1509"/>
        <w:tab w:val="left" w:pos="2880"/>
        <w:tab w:val="left" w:pos="3787"/>
        <w:tab w:val="left" w:pos="4442"/>
        <w:tab w:val="left" w:pos="5040"/>
        <w:tab w:val="left" w:pos="5760"/>
        <w:tab w:val="left" w:pos="6480"/>
        <w:tab w:val="left" w:pos="7200"/>
        <w:tab w:val="left" w:pos="7653"/>
        <w:tab w:val="left" w:pos="8640"/>
        <w:tab w:val="left" w:pos="9360"/>
        <w:tab w:val="left" w:pos="10080"/>
        <w:tab w:val="left" w:pos="10800"/>
      </w:tabs>
      <w:autoSpaceDE w:val="0"/>
      <w:autoSpaceDN w:val="0"/>
      <w:adjustRightInd w:val="0"/>
      <w:ind w:hanging="90"/>
    </w:pPr>
    <w:rPr>
      <w:rFonts w:ascii="Arial" w:hAnsi="Arial" w:cs="Arial"/>
      <w:b/>
      <w:bCs/>
      <w:sz w:val="20"/>
      <w:szCs w:val="20"/>
    </w:rPr>
  </w:style>
  <w:style w:type="paragraph" w:styleId="BodyText2">
    <w:name w:val="Body Text 2"/>
    <w:basedOn w:val="Normal"/>
    <w:link w:val="BodyText2Char"/>
    <w:pPr>
      <w:widowControl w:val="0"/>
      <w:tabs>
        <w:tab w:val="left" w:pos="-1440"/>
        <w:tab w:val="left" w:pos="-720"/>
        <w:tab w:val="left" w:pos="0"/>
        <w:tab w:val="left" w:pos="769"/>
      </w:tabs>
      <w:autoSpaceDE w:val="0"/>
      <w:autoSpaceDN w:val="0"/>
      <w:adjustRightInd w:val="0"/>
    </w:pPr>
    <w:rPr>
      <w:rFonts w:ascii="Arial" w:hAnsi="Arial" w:cs="Arial"/>
      <w:b/>
      <w:bCs/>
      <w:sz w:val="22"/>
      <w:szCs w:val="28"/>
    </w:rPr>
  </w:style>
  <w:style w:type="character" w:styleId="PageNumber">
    <w:name w:val="page number"/>
    <w:basedOn w:val="DefaultParagraphFont"/>
  </w:style>
  <w:style w:type="paragraph" w:styleId="Header">
    <w:name w:val="header"/>
    <w:basedOn w:val="Normal"/>
    <w:link w:val="HeaderChar"/>
    <w:uiPriority w:val="99"/>
    <w:pPr>
      <w:widowControl w:val="0"/>
      <w:tabs>
        <w:tab w:val="center" w:pos="4320"/>
        <w:tab w:val="right" w:pos="8640"/>
      </w:tabs>
      <w:autoSpaceDE w:val="0"/>
      <w:autoSpaceDN w:val="0"/>
      <w:adjustRightInd w:val="0"/>
    </w:pPr>
    <w:rPr>
      <w:rFonts w:ascii="Arial" w:hAnsi="Arial"/>
      <w:sz w:val="20"/>
    </w:rPr>
  </w:style>
  <w:style w:type="character" w:styleId="Emphasis">
    <w:name w:val="Emphasis"/>
    <w:qFormat/>
    <w:rPr>
      <w:i/>
      <w:iCs/>
    </w:rPr>
  </w:style>
  <w:style w:type="paragraph" w:customStyle="1" w:styleId="BodyText4pt">
    <w:name w:val="Body Text + 4 pt"/>
    <w:aliases w:val="Line spacing:  normal"/>
    <w:basedOn w:val="BodyText"/>
    <w:pPr>
      <w:tabs>
        <w:tab w:val="clear" w:pos="-466"/>
        <w:tab w:val="clear" w:pos="720"/>
        <w:tab w:val="clear" w:pos="1154"/>
        <w:tab w:val="clear" w:pos="1803"/>
        <w:tab w:val="clear" w:pos="2880"/>
        <w:tab w:val="clear" w:pos="3790"/>
        <w:tab w:val="clear" w:pos="4320"/>
        <w:tab w:val="clear" w:pos="5040"/>
        <w:tab w:val="clear" w:pos="5760"/>
        <w:tab w:val="clear" w:pos="6480"/>
        <w:tab w:val="clear" w:pos="7200"/>
        <w:tab w:val="clear" w:pos="7653"/>
        <w:tab w:val="clear" w:pos="8640"/>
        <w:tab w:val="clear" w:pos="9360"/>
        <w:tab w:val="clear" w:pos="10080"/>
        <w:tab w:val="left" w:pos="-1440"/>
        <w:tab w:val="left" w:pos="-720"/>
        <w:tab w:val="left" w:pos="769"/>
      </w:tabs>
      <w:spacing w:line="280" w:lineRule="exact"/>
    </w:pPr>
    <w:rPr>
      <w:sz w:val="8"/>
      <w:szCs w:val="8"/>
    </w:rPr>
  </w:style>
  <w:style w:type="paragraph" w:styleId="DocumentMap">
    <w:name w:val="Document Map"/>
    <w:basedOn w:val="Normal"/>
    <w:link w:val="DocumentMapChar"/>
    <w:semiHidden/>
    <w:pPr>
      <w:shd w:val="clear" w:color="auto" w:fill="000080"/>
    </w:pPr>
    <w:rPr>
      <w:rFonts w:ascii="Tahoma" w:hAnsi="Tahoma" w:cs="Tahoma"/>
    </w:rPr>
  </w:style>
  <w:style w:type="character" w:customStyle="1" w:styleId="Hypertext">
    <w:name w:val="Hypertext"/>
    <w:rPr>
      <w:color w:val="0000FF"/>
      <w:u w:val="single"/>
    </w:rPr>
  </w:style>
  <w:style w:type="paragraph" w:styleId="TOC1">
    <w:name w:val="toc 1"/>
    <w:basedOn w:val="Normal"/>
    <w:next w:val="Normal"/>
    <w:autoRedefine/>
    <w:semiHidden/>
    <w:pPr>
      <w:widowControl w:val="0"/>
      <w:autoSpaceDE w:val="0"/>
      <w:autoSpaceDN w:val="0"/>
      <w:adjustRightInd w:val="0"/>
      <w:ind w:left="720" w:hanging="720"/>
    </w:pPr>
    <w:rPr>
      <w:b/>
      <w:bCs/>
      <w:sz w:val="20"/>
    </w:rPr>
  </w:style>
  <w:style w:type="paragraph" w:styleId="TOC3">
    <w:name w:val="toc 3"/>
    <w:basedOn w:val="Normal"/>
    <w:next w:val="Normal"/>
    <w:autoRedefine/>
    <w:semiHidden/>
    <w:pPr>
      <w:widowControl w:val="0"/>
      <w:autoSpaceDE w:val="0"/>
      <w:autoSpaceDN w:val="0"/>
      <w:adjustRightInd w:val="0"/>
      <w:spacing w:line="120" w:lineRule="auto"/>
      <w:ind w:left="2160" w:hanging="720"/>
    </w:pPr>
    <w:rPr>
      <w:rFonts w:ascii="Arial" w:hAnsi="Arial" w:cs="Arial"/>
      <w:sz w:val="20"/>
    </w:rPr>
  </w:style>
  <w:style w:type="paragraph" w:customStyle="1" w:styleId="1">
    <w:name w:val="_1"/>
    <w:basedOn w:val="Normal"/>
    <w:pPr>
      <w:widowControl w:val="0"/>
      <w:autoSpaceDE w:val="0"/>
      <w:autoSpaceDN w:val="0"/>
      <w:adjustRightInd w:val="0"/>
      <w:ind w:left="2880" w:hanging="720"/>
    </w:pPr>
    <w:rPr>
      <w:sz w:val="20"/>
    </w:rPr>
  </w:style>
  <w:style w:type="paragraph" w:styleId="Subtitle">
    <w:name w:val="Subtitle"/>
    <w:basedOn w:val="Normal"/>
    <w:link w:val="SubtitleChar"/>
    <w:qFormat/>
    <w:pPr>
      <w:jc w:val="center"/>
    </w:pPr>
    <w:rPr>
      <w:rFonts w:ascii="Tahoma" w:hAnsi="Tahoma" w:cs="Tahoma"/>
      <w:b/>
      <w:bCs/>
    </w:rPr>
  </w:style>
  <w:style w:type="character" w:styleId="Hyperlink">
    <w:name w:val="Hyperlink"/>
    <w:rPr>
      <w:color w:val="0000FF"/>
      <w:u w:val="single"/>
    </w:rPr>
  </w:style>
  <w:style w:type="character" w:styleId="LineNumber">
    <w:name w:val="line number"/>
    <w:basedOn w:val="DefaultParagraphFont"/>
  </w:style>
  <w:style w:type="paragraph" w:styleId="Index1">
    <w:name w:val="index 1"/>
    <w:basedOn w:val="Normal"/>
    <w:next w:val="Normal"/>
    <w:autoRedefine/>
    <w:semiHidden/>
    <w:rPr>
      <w:rFonts w:ascii="Tahoma" w:hAnsi="Tahoma" w:cs="Tahoma"/>
      <w:color w:val="FF0000"/>
      <w:sz w:val="16"/>
    </w:rPr>
  </w:style>
  <w:style w:type="paragraph" w:styleId="NormalWeb">
    <w:name w:val="Normal (Web)"/>
    <w:basedOn w:val="Normal"/>
    <w:pPr>
      <w:widowControl w:val="0"/>
      <w:autoSpaceDE w:val="0"/>
      <w:autoSpaceDN w:val="0"/>
      <w:adjustRightInd w:val="0"/>
    </w:pPr>
  </w:style>
  <w:style w:type="paragraph" w:styleId="IndexHeading">
    <w:name w:val="index heading"/>
    <w:basedOn w:val="Normal"/>
    <w:next w:val="Index1"/>
    <w:semiHidden/>
    <w:pPr>
      <w:widowControl w:val="0"/>
      <w:autoSpaceDE w:val="0"/>
      <w:autoSpaceDN w:val="0"/>
      <w:adjustRightInd w:val="0"/>
    </w:pPr>
    <w:rPr>
      <w:rFonts w:ascii="Arial" w:hAnsi="Arial" w:cs="Arial"/>
      <w:b/>
      <w:bCs/>
      <w:sz w:val="20"/>
    </w:rPr>
  </w:style>
  <w:style w:type="paragraph" w:styleId="ListContinue">
    <w:name w:val="List Continue"/>
    <w:basedOn w:val="Normal"/>
    <w:pPr>
      <w:widowControl w:val="0"/>
      <w:autoSpaceDE w:val="0"/>
      <w:autoSpaceDN w:val="0"/>
      <w:adjustRightInd w:val="0"/>
      <w:spacing w:after="120"/>
      <w:ind w:left="360"/>
    </w:pPr>
    <w:rPr>
      <w:rFonts w:ascii="Arial" w:hAnsi="Arial"/>
      <w:sz w:val="20"/>
    </w:rPr>
  </w:style>
  <w:style w:type="paragraph" w:styleId="ListContinue2">
    <w:name w:val="List Continue 2"/>
    <w:basedOn w:val="Normal"/>
    <w:pPr>
      <w:widowControl w:val="0"/>
      <w:autoSpaceDE w:val="0"/>
      <w:autoSpaceDN w:val="0"/>
      <w:adjustRightInd w:val="0"/>
      <w:spacing w:after="120"/>
      <w:ind w:left="720"/>
    </w:pPr>
    <w:rPr>
      <w:rFonts w:ascii="Arial" w:hAnsi="Arial"/>
      <w:sz w:val="20"/>
    </w:rPr>
  </w:style>
  <w:style w:type="paragraph" w:styleId="ListContinue3">
    <w:name w:val="List Continue 3"/>
    <w:basedOn w:val="Normal"/>
    <w:pPr>
      <w:widowControl w:val="0"/>
      <w:autoSpaceDE w:val="0"/>
      <w:autoSpaceDN w:val="0"/>
      <w:adjustRightInd w:val="0"/>
      <w:spacing w:after="120"/>
      <w:ind w:left="1080"/>
    </w:pPr>
    <w:rPr>
      <w:rFonts w:ascii="Arial" w:hAnsi="Arial"/>
      <w:sz w:val="20"/>
    </w:rPr>
  </w:style>
  <w:style w:type="paragraph" w:styleId="ListBullet">
    <w:name w:val="List Bullet"/>
    <w:basedOn w:val="Normal"/>
    <w:autoRedefine/>
    <w:pPr>
      <w:widowControl w:val="0"/>
      <w:tabs>
        <w:tab w:val="num" w:pos="1008"/>
      </w:tabs>
      <w:autoSpaceDE w:val="0"/>
      <w:autoSpaceDN w:val="0"/>
      <w:adjustRightInd w:val="0"/>
      <w:ind w:left="1008" w:hanging="432"/>
    </w:pPr>
    <w:rPr>
      <w:rFonts w:ascii="Arial" w:hAnsi="Arial"/>
      <w:sz w:val="20"/>
    </w:rPr>
  </w:style>
  <w:style w:type="paragraph" w:styleId="ListBullet2">
    <w:name w:val="List Bullet 2"/>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3">
    <w:name w:val="List Bullet 3"/>
    <w:basedOn w:val="Normal"/>
    <w:autoRedefine/>
    <w:pPr>
      <w:widowControl w:val="0"/>
      <w:tabs>
        <w:tab w:val="num" w:pos="720"/>
      </w:tabs>
      <w:autoSpaceDE w:val="0"/>
      <w:autoSpaceDN w:val="0"/>
      <w:adjustRightInd w:val="0"/>
      <w:ind w:left="720" w:hanging="360"/>
    </w:pPr>
    <w:rPr>
      <w:rFonts w:ascii="Arial" w:hAnsi="Arial"/>
      <w:sz w:val="20"/>
    </w:rPr>
  </w:style>
  <w:style w:type="paragraph" w:styleId="ListBullet4">
    <w:name w:val="List Bullet 4"/>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5">
    <w:name w:val="List Bullet 5"/>
    <w:basedOn w:val="Normal"/>
    <w:autoRedefine/>
    <w:pPr>
      <w:widowControl w:val="0"/>
      <w:tabs>
        <w:tab w:val="num" w:pos="576"/>
      </w:tabs>
      <w:autoSpaceDE w:val="0"/>
      <w:autoSpaceDN w:val="0"/>
      <w:adjustRightInd w:val="0"/>
      <w:ind w:left="576" w:hanging="576"/>
    </w:pPr>
    <w:rPr>
      <w:rFonts w:ascii="Arial" w:hAnsi="Arial"/>
      <w:sz w:val="20"/>
    </w:rPr>
  </w:style>
  <w:style w:type="paragraph" w:styleId="ListNumber">
    <w:name w:val="List Number"/>
    <w:basedOn w:val="Normal"/>
    <w:pPr>
      <w:widowControl w:val="0"/>
      <w:tabs>
        <w:tab w:val="num" w:pos="720"/>
      </w:tabs>
      <w:autoSpaceDE w:val="0"/>
      <w:autoSpaceDN w:val="0"/>
      <w:adjustRightInd w:val="0"/>
      <w:ind w:left="720" w:hanging="360"/>
    </w:pPr>
    <w:rPr>
      <w:rFonts w:ascii="Arial" w:hAnsi="Arial"/>
      <w:sz w:val="20"/>
    </w:rPr>
  </w:style>
  <w:style w:type="paragraph" w:styleId="ListNumber2">
    <w:name w:val="List Number 2"/>
    <w:basedOn w:val="Normal"/>
    <w:pPr>
      <w:widowControl w:val="0"/>
      <w:tabs>
        <w:tab w:val="num" w:pos="1440"/>
      </w:tabs>
      <w:autoSpaceDE w:val="0"/>
      <w:autoSpaceDN w:val="0"/>
      <w:adjustRightInd w:val="0"/>
      <w:ind w:left="1440" w:hanging="720"/>
    </w:pPr>
    <w:rPr>
      <w:rFonts w:ascii="Arial" w:hAnsi="Arial"/>
      <w:sz w:val="20"/>
    </w:rPr>
  </w:style>
  <w:style w:type="paragraph" w:styleId="ListNumber3">
    <w:name w:val="List Number 3"/>
    <w:basedOn w:val="Normal"/>
    <w:pPr>
      <w:widowControl w:val="0"/>
      <w:tabs>
        <w:tab w:val="num" w:pos="1440"/>
      </w:tabs>
      <w:autoSpaceDE w:val="0"/>
      <w:autoSpaceDN w:val="0"/>
      <w:adjustRightInd w:val="0"/>
      <w:ind w:left="1440" w:hanging="720"/>
    </w:pPr>
    <w:rPr>
      <w:rFonts w:ascii="Arial" w:hAnsi="Arial"/>
      <w:sz w:val="20"/>
    </w:rPr>
  </w:style>
  <w:style w:type="paragraph" w:styleId="ListNumber4">
    <w:name w:val="List Number 4"/>
    <w:basedOn w:val="Normal"/>
    <w:pPr>
      <w:widowControl w:val="0"/>
      <w:tabs>
        <w:tab w:val="num" w:pos="1440"/>
      </w:tabs>
      <w:autoSpaceDE w:val="0"/>
      <w:autoSpaceDN w:val="0"/>
      <w:adjustRightInd w:val="0"/>
      <w:ind w:left="1440" w:hanging="720"/>
    </w:pPr>
    <w:rPr>
      <w:rFonts w:ascii="Arial" w:hAnsi="Arial"/>
      <w:sz w:val="20"/>
    </w:rPr>
  </w:style>
  <w:style w:type="paragraph" w:styleId="ListNumber5">
    <w:name w:val="List Number 5"/>
    <w:basedOn w:val="Normal"/>
    <w:pPr>
      <w:widowControl w:val="0"/>
      <w:tabs>
        <w:tab w:val="num" w:pos="1440"/>
      </w:tabs>
      <w:autoSpaceDE w:val="0"/>
      <w:autoSpaceDN w:val="0"/>
      <w:adjustRightInd w:val="0"/>
      <w:ind w:left="1440" w:hanging="720"/>
    </w:pPr>
    <w:rPr>
      <w:rFonts w:ascii="Arial" w:hAnsi="Arial"/>
      <w:sz w:val="20"/>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character" w:customStyle="1" w:styleId="BodyTextChar">
    <w:name w:val="Body Text Char"/>
    <w:rPr>
      <w:rFonts w:ascii="Arial" w:hAnsi="Arial" w:cs="Arial"/>
      <w:sz w:val="18"/>
      <w:szCs w:val="18"/>
      <w:lang w:val="en-US" w:eastAsia="en-US" w:bidi="ar-SA"/>
    </w:rPr>
  </w:style>
  <w:style w:type="character" w:customStyle="1" w:styleId="FooterChar">
    <w:name w:val="Footer Char"/>
    <w:link w:val="Footer"/>
    <w:rsid w:val="00E81021"/>
    <w:rPr>
      <w:szCs w:val="24"/>
    </w:rPr>
  </w:style>
  <w:style w:type="paragraph" w:styleId="BalloonText">
    <w:name w:val="Balloon Text"/>
    <w:basedOn w:val="Normal"/>
    <w:link w:val="BalloonTextChar"/>
    <w:semiHidden/>
    <w:rPr>
      <w:rFonts w:ascii="Tahoma" w:hAnsi="Tahoma" w:cs="Tahoma"/>
      <w:sz w:val="16"/>
      <w:szCs w:val="16"/>
    </w:rPr>
  </w:style>
  <w:style w:type="paragraph" w:customStyle="1" w:styleId="Style1">
    <w:name w:val="Style1"/>
    <w:basedOn w:val="Footer"/>
    <w:autoRedefine/>
    <w:pPr>
      <w:jc w:val="center"/>
    </w:pPr>
  </w:style>
  <w:style w:type="paragraph" w:customStyle="1" w:styleId="Style2">
    <w:name w:val="Style2"/>
    <w:basedOn w:val="Footer"/>
    <w:autoRedefine/>
    <w:pPr>
      <w:jc w:val="center"/>
    </w:pPr>
  </w:style>
  <w:style w:type="character" w:customStyle="1" w:styleId="HeaderChar">
    <w:name w:val="Header Char"/>
    <w:link w:val="Header"/>
    <w:uiPriority w:val="99"/>
    <w:rsid w:val="005A5A09"/>
    <w:rPr>
      <w:rFonts w:ascii="Arial" w:hAnsi="Arial"/>
      <w:szCs w:val="24"/>
    </w:rPr>
  </w:style>
  <w:style w:type="character" w:customStyle="1" w:styleId="HeaderChar1">
    <w:name w:val="Header Char1"/>
    <w:rsid w:val="005A5A09"/>
    <w:rPr>
      <w:rFonts w:ascii="Arial" w:hAnsi="Arial"/>
      <w:szCs w:val="24"/>
    </w:rPr>
  </w:style>
  <w:style w:type="table" w:styleId="TableGrid">
    <w:name w:val="Table Grid"/>
    <w:basedOn w:val="TableNormal"/>
    <w:rsid w:val="005A5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1">
    <w:name w:val="Footer Char1"/>
    <w:rsid w:val="005A5A09"/>
    <w:rPr>
      <w:szCs w:val="24"/>
    </w:rPr>
  </w:style>
  <w:style w:type="character" w:customStyle="1" w:styleId="HeaderChar2">
    <w:name w:val="Header Char2"/>
    <w:uiPriority w:val="99"/>
    <w:rsid w:val="005A5A09"/>
    <w:rPr>
      <w:rFonts w:ascii="Arial" w:hAnsi="Arial"/>
      <w:szCs w:val="24"/>
    </w:rPr>
  </w:style>
  <w:style w:type="character" w:customStyle="1" w:styleId="SubtitleChar">
    <w:name w:val="Subtitle Char"/>
    <w:link w:val="Subtitle"/>
    <w:rsid w:val="005A5A09"/>
    <w:rPr>
      <w:rFonts w:ascii="Tahoma" w:hAnsi="Tahoma" w:cs="Tahoma"/>
      <w:b/>
      <w:bCs/>
      <w:sz w:val="24"/>
      <w:szCs w:val="24"/>
    </w:rPr>
  </w:style>
  <w:style w:type="character" w:styleId="Strong">
    <w:name w:val="Strong"/>
    <w:qFormat/>
    <w:rsid w:val="005A5A09"/>
    <w:rPr>
      <w:b/>
      <w:bCs/>
    </w:rPr>
  </w:style>
  <w:style w:type="character" w:customStyle="1" w:styleId="Heading3Char">
    <w:name w:val="Heading 3 Char"/>
    <w:link w:val="Heading3"/>
    <w:rsid w:val="005A5A09"/>
    <w:rPr>
      <w:rFonts w:ascii="BankGothic Md BT" w:hAnsi="BankGothic Md BT"/>
      <w:b/>
      <w:smallCaps/>
      <w:sz w:val="32"/>
      <w:szCs w:val="24"/>
    </w:rPr>
  </w:style>
  <w:style w:type="character" w:customStyle="1" w:styleId="Heading7Char">
    <w:name w:val="Heading 7 Char"/>
    <w:link w:val="Heading7"/>
    <w:rsid w:val="005A5A09"/>
    <w:rPr>
      <w:b/>
      <w:bCs/>
      <w:sz w:val="22"/>
      <w:szCs w:val="24"/>
    </w:rPr>
  </w:style>
  <w:style w:type="character" w:customStyle="1" w:styleId="FooterChar2">
    <w:name w:val="Footer Char2"/>
    <w:rsid w:val="005A5A09"/>
    <w:rPr>
      <w:szCs w:val="24"/>
    </w:rPr>
  </w:style>
  <w:style w:type="character" w:customStyle="1" w:styleId="FooterChar3">
    <w:name w:val="Footer Char3"/>
    <w:rsid w:val="005A5A09"/>
    <w:rPr>
      <w:szCs w:val="24"/>
    </w:rPr>
  </w:style>
  <w:style w:type="character" w:customStyle="1" w:styleId="HeaderChar3">
    <w:name w:val="Header Char3"/>
    <w:uiPriority w:val="99"/>
    <w:rsid w:val="005A5A09"/>
    <w:rPr>
      <w:rFonts w:ascii="Arial" w:hAnsi="Arial"/>
      <w:szCs w:val="24"/>
    </w:rPr>
  </w:style>
  <w:style w:type="paragraph" w:styleId="ListParagraph">
    <w:name w:val="List Paragraph"/>
    <w:basedOn w:val="Normal"/>
    <w:uiPriority w:val="34"/>
    <w:qFormat/>
    <w:rsid w:val="005A5A09"/>
    <w:pPr>
      <w:ind w:left="720"/>
    </w:pPr>
  </w:style>
  <w:style w:type="character" w:customStyle="1" w:styleId="BodyTextIndent3Char">
    <w:name w:val="Body Text Indent 3 Char"/>
    <w:link w:val="BodyTextIndent3"/>
    <w:rsid w:val="00F865F2"/>
    <w:rPr>
      <w:sz w:val="24"/>
    </w:rPr>
  </w:style>
  <w:style w:type="character" w:customStyle="1" w:styleId="Heading1Char">
    <w:name w:val="Heading 1 Char"/>
    <w:link w:val="Heading1"/>
    <w:rsid w:val="00F865F2"/>
    <w:rPr>
      <w:rFonts w:ascii="Courier New" w:hAnsi="Courier New"/>
      <w:b/>
      <w:smallCaps/>
      <w:sz w:val="32"/>
      <w:szCs w:val="24"/>
    </w:rPr>
  </w:style>
  <w:style w:type="character" w:customStyle="1" w:styleId="Heading2Char">
    <w:name w:val="Heading 2 Char"/>
    <w:link w:val="Heading2"/>
    <w:rsid w:val="00F865F2"/>
    <w:rPr>
      <w:rFonts w:ascii="BankGothic Md BT" w:hAnsi="BankGothic Md BT"/>
      <w:b/>
      <w:smallCaps/>
      <w:sz w:val="28"/>
      <w:szCs w:val="24"/>
    </w:rPr>
  </w:style>
  <w:style w:type="character" w:customStyle="1" w:styleId="Heading4Char">
    <w:name w:val="Heading 4 Char"/>
    <w:link w:val="Heading4"/>
    <w:rsid w:val="00F865F2"/>
    <w:rPr>
      <w:b/>
      <w:smallCaps/>
      <w:sz w:val="24"/>
      <w:szCs w:val="24"/>
    </w:rPr>
  </w:style>
  <w:style w:type="character" w:customStyle="1" w:styleId="Heading5Char">
    <w:name w:val="Heading 5 Char"/>
    <w:link w:val="Heading5"/>
    <w:rsid w:val="00F865F2"/>
    <w:rPr>
      <w:b/>
      <w:bCs/>
      <w:sz w:val="22"/>
      <w:szCs w:val="24"/>
    </w:rPr>
  </w:style>
  <w:style w:type="character" w:customStyle="1" w:styleId="Heading6Char">
    <w:name w:val="Heading 6 Char"/>
    <w:link w:val="Heading6"/>
    <w:rsid w:val="00F865F2"/>
    <w:rPr>
      <w:b/>
      <w:bCs/>
      <w:sz w:val="22"/>
      <w:szCs w:val="24"/>
    </w:rPr>
  </w:style>
  <w:style w:type="character" w:customStyle="1" w:styleId="Heading8Char">
    <w:name w:val="Heading 8 Char"/>
    <w:link w:val="Heading8"/>
    <w:rsid w:val="00F865F2"/>
    <w:rPr>
      <w:b/>
      <w:bCs/>
      <w:sz w:val="22"/>
      <w:szCs w:val="24"/>
    </w:rPr>
  </w:style>
  <w:style w:type="character" w:customStyle="1" w:styleId="Heading9Char">
    <w:name w:val="Heading 9 Char"/>
    <w:link w:val="Heading9"/>
    <w:rsid w:val="00F865F2"/>
    <w:rPr>
      <w:b/>
      <w:bCs/>
      <w:sz w:val="22"/>
      <w:szCs w:val="24"/>
    </w:rPr>
  </w:style>
  <w:style w:type="character" w:customStyle="1" w:styleId="TitleChar">
    <w:name w:val="Title Char"/>
    <w:link w:val="Title"/>
    <w:rsid w:val="00F865F2"/>
    <w:rPr>
      <w:rFonts w:cs="Arial"/>
      <w:sz w:val="72"/>
      <w:szCs w:val="80"/>
    </w:rPr>
  </w:style>
  <w:style w:type="character" w:customStyle="1" w:styleId="BodyTextIndentChar">
    <w:name w:val="Body Text Indent Char"/>
    <w:link w:val="BodyTextIndent"/>
    <w:rsid w:val="00F865F2"/>
    <w:rPr>
      <w:sz w:val="24"/>
    </w:rPr>
  </w:style>
  <w:style w:type="character" w:customStyle="1" w:styleId="BodyTextIndent2Char">
    <w:name w:val="Body Text Indent 2 Char"/>
    <w:link w:val="BodyTextIndent2"/>
    <w:rsid w:val="00F865F2"/>
    <w:rPr>
      <w:rFonts w:ascii="Arial" w:hAnsi="Arial" w:cs="Arial"/>
      <w:sz w:val="24"/>
    </w:rPr>
  </w:style>
  <w:style w:type="character" w:customStyle="1" w:styleId="BodyText3Char">
    <w:name w:val="Body Text 3 Char"/>
    <w:link w:val="BodyText3"/>
    <w:rsid w:val="00F865F2"/>
    <w:rPr>
      <w:rFonts w:ascii="Arial" w:hAnsi="Arial" w:cs="Arial"/>
      <w:szCs w:val="24"/>
    </w:rPr>
  </w:style>
  <w:style w:type="character" w:customStyle="1" w:styleId="BodyText2Char">
    <w:name w:val="Body Text 2 Char"/>
    <w:link w:val="BodyText2"/>
    <w:rsid w:val="00F865F2"/>
    <w:rPr>
      <w:rFonts w:ascii="Arial" w:hAnsi="Arial" w:cs="Arial"/>
      <w:b/>
      <w:bCs/>
      <w:sz w:val="22"/>
      <w:szCs w:val="28"/>
    </w:rPr>
  </w:style>
  <w:style w:type="character" w:customStyle="1" w:styleId="DocumentMapChar">
    <w:name w:val="Document Map Char"/>
    <w:link w:val="DocumentMap"/>
    <w:semiHidden/>
    <w:rsid w:val="00F865F2"/>
    <w:rPr>
      <w:rFonts w:ascii="Tahoma" w:hAnsi="Tahoma" w:cs="Tahoma"/>
      <w:sz w:val="24"/>
      <w:szCs w:val="24"/>
      <w:shd w:val="clear" w:color="auto" w:fill="000080"/>
    </w:rPr>
  </w:style>
  <w:style w:type="character" w:customStyle="1" w:styleId="HTMLPreformattedChar">
    <w:name w:val="HTML Preformatted Char"/>
    <w:link w:val="HTMLPreformatted"/>
    <w:rsid w:val="00F865F2"/>
    <w:rPr>
      <w:rFonts w:ascii="Arial Unicode MS" w:eastAsia="Arial Unicode MS" w:hAnsi="Arial Unicode MS" w:cs="Arial Unicode MS"/>
    </w:rPr>
  </w:style>
  <w:style w:type="character" w:customStyle="1" w:styleId="FootnoteTextChar">
    <w:name w:val="Footnote Text Char"/>
    <w:link w:val="FootnoteText"/>
    <w:semiHidden/>
    <w:rsid w:val="00F865F2"/>
  </w:style>
  <w:style w:type="character" w:customStyle="1" w:styleId="BalloonTextChar">
    <w:name w:val="Balloon Text Char"/>
    <w:link w:val="BalloonText"/>
    <w:semiHidden/>
    <w:rsid w:val="00F865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2DEE3C-5898-446B-88DF-AE8F87DF2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1974</Words>
  <Characters>11067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Florida Small Cities</vt:lpstr>
    </vt:vector>
  </TitlesOfParts>
  <Company>Agency for Workforce Innovation</Company>
  <LinksUpToDate>false</LinksUpToDate>
  <CharactersWithSpaces>13015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Small Cities</dc:title>
  <dc:subject/>
  <dc:creator>millies</dc:creator>
  <cp:keywords/>
  <cp:lastModifiedBy>Golen, Michael</cp:lastModifiedBy>
  <cp:revision>4</cp:revision>
  <cp:lastPrinted>2015-03-20T21:13:00Z</cp:lastPrinted>
  <dcterms:created xsi:type="dcterms:W3CDTF">2015-10-30T20:24:00Z</dcterms:created>
  <dcterms:modified xsi:type="dcterms:W3CDTF">2015-11-16T16:56:00Z</dcterms:modified>
</cp:coreProperties>
</file>